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ab/>
        <w:tab/>
        <w:tab/>
        <w:tab/>
        <w:tab/>
        <w:tab/>
        <w:tab/>
        <w:tab/>
        <w:t xml:space="preserve">Załącznik nr 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00"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ZAPYTANIE OFERTOWE NR 2026-25472-275536</w:t>
        <w:br w:type="textWrapping"/>
        <w:t xml:space="preserve">SPECYFIKACJA ISTOTNYCH WARUNKÓW ZAMÓWIENIA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realizowane w ramach projektu badawczego</w:t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pt. “Opracowanie i wdrożenie nowej metody do bezpośredniej detekcji i pomiaru</w:t>
      </w:r>
    </w:p>
    <w:p w:rsidR="00000000" w:rsidDel="00000000" w:rsidP="00000000" w:rsidRDefault="00000000" w:rsidRPr="00000000" w14:paraId="00000006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stresu replikacyjnego w komórkach i tkankach ludzkich.”</w:t>
      </w:r>
    </w:p>
    <w:p w:rsidR="00000000" w:rsidDel="00000000" w:rsidP="00000000" w:rsidRDefault="00000000" w:rsidRPr="00000000" w14:paraId="00000007">
      <w:pPr>
        <w:spacing w:after="200"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(nr umowy: FENG.01.01-IP.02-1682/23)</w:t>
      </w:r>
    </w:p>
    <w:p w:rsidR="00000000" w:rsidDel="00000000" w:rsidP="00000000" w:rsidRDefault="00000000" w:rsidRPr="00000000" w14:paraId="00000008">
      <w:pPr>
        <w:spacing w:after="200"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200" w:before="0" w:line="276" w:lineRule="auto"/>
        <w:ind w:left="720" w:right="0" w:hanging="36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INFORMACJE O OGŁOSZENIU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tabs>
          <w:tab w:val="left" w:leader="none" w:pos="565"/>
        </w:tabs>
        <w:spacing w:after="200" w:line="276" w:lineRule="auto"/>
        <w:ind w:left="720" w:hanging="360"/>
        <w:jc w:val="both"/>
        <w:rPr>
          <w:rFonts w:ascii="Arial" w:cs="Arial" w:eastAsia="Arial" w:hAnsi="Arial"/>
          <w:sz w:val="22"/>
          <w:szCs w:val="22"/>
          <w:u w:val="none"/>
        </w:rPr>
      </w:pPr>
      <w:bookmarkStart w:colFirst="0" w:colLast="0" w:name="_heading=h.1fob9te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Tytuł zamówienia: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565"/>
        </w:tabs>
        <w:spacing w:after="200"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7v3n2kdldb5n" w:id="1"/>
      <w:bookmarkEnd w:id="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Zakup i dostawa odczynników laboratoryjnych w ramach projektu “Opracowanie i wdrożenie nowej metody do bezpośredniej detekcji i pomiaru stresu replikacyjnego w komórkach i tkankach ludzkich” - część XII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tabs>
          <w:tab w:val="left" w:leader="none" w:pos="565"/>
        </w:tabs>
        <w:spacing w:after="200" w:line="276" w:lineRule="auto"/>
        <w:ind w:left="720" w:hanging="360"/>
        <w:jc w:val="both"/>
        <w:rPr>
          <w:rFonts w:ascii="Arial" w:cs="Arial" w:eastAsia="Arial" w:hAnsi="Arial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Miejsce i sposób składania ofert: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Oferty wraz z załącznikami można składać wyłącznie poprzez Bazę Konkurencyjności.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Liczy się data i godzina wpłynięcia oferty do Zamawiającego.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20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powinna być przygotowana wg wytycznych i informacji określonych w załączniku nr 1 do niniejszej Specyfikacji Istotnych Warunków Zamówienia – „Sposób przygotowania i oceny oferty”.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tabs>
          <w:tab w:val="left" w:leader="none" w:pos="565"/>
        </w:tabs>
        <w:spacing w:after="200" w:line="276" w:lineRule="auto"/>
        <w:ind w:left="720" w:hanging="360"/>
        <w:jc w:val="both"/>
        <w:rPr>
          <w:u w:val="no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Miejsce realizacji zamówienia: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IntoDNA S.A.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ul. Bobrzyńskiego 14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30-348 Kraków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NIP: 9452213325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REGON: 368491518</w:t>
      </w:r>
    </w:p>
    <w:p w:rsidR="00000000" w:rsidDel="00000000" w:rsidP="00000000" w:rsidRDefault="00000000" w:rsidRPr="00000000" w14:paraId="00000016">
      <w:pPr>
        <w:spacing w:after="200"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KRS: 0000874311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tabs>
          <w:tab w:val="left" w:leader="none" w:pos="565"/>
        </w:tabs>
        <w:spacing w:after="200" w:line="276" w:lineRule="auto"/>
        <w:ind w:left="720" w:hanging="360"/>
        <w:jc w:val="both"/>
        <w:rPr>
          <w:rFonts w:ascii="Arial" w:cs="Arial" w:eastAsia="Arial" w:hAnsi="Arial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 przypadku pytań do ogłoszenia zapraszamy do kontaktu 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565"/>
        </w:tabs>
        <w:spacing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3znysh7" w:id="2"/>
      <w:bookmarkEnd w:id="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Wiktoria Stańczyk</w:t>
      </w:r>
    </w:p>
    <w:p w:rsidR="00000000" w:rsidDel="00000000" w:rsidP="00000000" w:rsidRDefault="00000000" w:rsidRPr="00000000" w14:paraId="00000019">
      <w:pPr>
        <w:tabs>
          <w:tab w:val="left" w:leader="none" w:pos="565"/>
        </w:tabs>
        <w:spacing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e-mail: wstanczyk@intodna.com</w:t>
      </w:r>
    </w:p>
    <w:p w:rsidR="00000000" w:rsidDel="00000000" w:rsidP="00000000" w:rsidRDefault="00000000" w:rsidRPr="00000000" w14:paraId="0000001A">
      <w:pPr>
        <w:tabs>
          <w:tab w:val="left" w:leader="none" w:pos="565"/>
        </w:tabs>
        <w:spacing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numer telefonu: +48 786496695</w:t>
      </w:r>
    </w:p>
    <w:p w:rsidR="00000000" w:rsidDel="00000000" w:rsidP="00000000" w:rsidRDefault="00000000" w:rsidRPr="00000000" w14:paraId="0000001B">
      <w:pPr>
        <w:tabs>
          <w:tab w:val="left" w:leader="none" w:pos="565"/>
        </w:tabs>
        <w:spacing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565"/>
        </w:tabs>
        <w:spacing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565"/>
        </w:tabs>
        <w:spacing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565"/>
        </w:tabs>
        <w:spacing w:line="276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200" w:before="0" w:line="276" w:lineRule="auto"/>
        <w:ind w:left="720" w:right="0" w:hanging="36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 ZAMÓWIENIA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200" w:before="0" w:line="276" w:lineRule="auto"/>
        <w:ind w:left="36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bookmarkStart w:colFirst="0" w:colLast="0" w:name="_heading=h.2et92p0" w:id="3"/>
      <w:bookmarkEnd w:id="3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Przedmiotem zapytania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jest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zakup i dostawa odczynników laboratoryjnych.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200" w:before="0" w:line="276" w:lineRule="auto"/>
        <w:ind w:left="360" w:right="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Odczynniki laboratoryjne są potrzebne do przeprowadzenia eksperymentów metodą STRIDE oraz barwienia immunofluorescencyjnego.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0" w:before="0" w:line="276" w:lineRule="auto"/>
        <w:ind w:left="36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Szczegółowy opis przedmiotu zamówienia: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200" w:before="0" w:line="276" w:lineRule="auto"/>
        <w:ind w:left="360" w:right="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Przedmiotem zamówienia są następujące materiały o poniższej specyfikacji: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Część zamówienia: Część 1</w:t>
      </w:r>
    </w:p>
    <w:p w:rsidR="00000000" w:rsidDel="00000000" w:rsidP="00000000" w:rsidRDefault="00000000" w:rsidRPr="00000000" w14:paraId="00000026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sz w:val="22"/>
          <w:szCs w:val="22"/>
          <w:highlight w:val="yellow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KOD CPV: 33696500-0 - odczynniki laboratoryjne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801359787"/>
        <w:tag w:val="goog_rdk_0"/>
      </w:sdtPr>
      <w:sdtContent>
        <w:tbl>
          <w:tblPr>
            <w:tblStyle w:val="Table1"/>
            <w:tblW w:w="8715.0" w:type="dxa"/>
            <w:jc w:val="left"/>
            <w:tblInd w:w="3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30"/>
            <w:gridCol w:w="4140"/>
            <w:gridCol w:w="1245"/>
            <w:gridCol w:w="1500"/>
            <w:tblGridChange w:id="0">
              <w:tblGrid>
                <w:gridCol w:w="1830"/>
                <w:gridCol w:w="4140"/>
                <w:gridCol w:w="1245"/>
                <w:gridCol w:w="150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8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Materiał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9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Dodatkowe wymagania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A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Objętość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B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Ilość sztuk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C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Królicze monoklonalne przeciwciało na białko PARP1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D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Reagujące z próbkami pochodzenia ludzkiego, mysiego, szczurzego; kompatybilne z techniką immunofluorescencji i/lub Western Blot; w buforze zawierającym nie więcej niż: 0.1% azydku sodu, PBS, do 40% glicerolu, do 0.1% BSA; o stężeniu przeciwciała pomiędzy 0.5-1.0 mg/ml.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E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100 µl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F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3 fiolki</w:t>
                </w:r>
              </w:p>
            </w:tc>
          </w:tr>
        </w:tbl>
      </w:sdtContent>
    </w:sdt>
    <w:p w:rsidR="00000000" w:rsidDel="00000000" w:rsidP="00000000" w:rsidRDefault="00000000" w:rsidRPr="00000000" w14:paraId="00000030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Część zamówienia: Część 2</w:t>
      </w:r>
    </w:p>
    <w:p w:rsidR="00000000" w:rsidDel="00000000" w:rsidP="00000000" w:rsidRDefault="00000000" w:rsidRPr="00000000" w14:paraId="00000032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KOD CPV: 33696500-0 - odczynniki laboratoryjne </w:t>
      </w:r>
    </w:p>
    <w:p w:rsidR="00000000" w:rsidDel="00000000" w:rsidP="00000000" w:rsidRDefault="00000000" w:rsidRPr="00000000" w14:paraId="00000033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467538997"/>
        <w:tag w:val="goog_rdk_1"/>
      </w:sdtPr>
      <w:sdtContent>
        <w:tbl>
          <w:tblPr>
            <w:tblStyle w:val="Table2"/>
            <w:tblW w:w="8715.0" w:type="dxa"/>
            <w:jc w:val="left"/>
            <w:tblInd w:w="3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15"/>
            <w:gridCol w:w="4155"/>
            <w:gridCol w:w="1245"/>
            <w:gridCol w:w="1500"/>
            <w:tblGridChange w:id="0">
              <w:tblGrid>
                <w:gridCol w:w="1815"/>
                <w:gridCol w:w="4155"/>
                <w:gridCol w:w="1245"/>
                <w:gridCol w:w="150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4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Materiał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5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Dodatkowe wymagania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6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Objętość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7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Ilość sztuk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8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Królicze monoklonalne przeciwciało na białko Ku80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9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Reagujące z próbkami pochodzenia ludzkiego, mysiego, szczurzego; kompatybilne z techniką immunofluorescencji i/lub Western Blot; w buforze zawierającym nie więcej niż: 0.5% azydku sodu, PBS, do 40% glicerolu, do 0.1% BSA; o stężeniu przeciwciała pomiędzy 0.1-0.5 mg/ml.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A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100 µl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B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2 fiolki</w:t>
                </w:r>
              </w:p>
            </w:tc>
          </w:tr>
        </w:tbl>
      </w:sdtContent>
    </w:sdt>
    <w:p w:rsidR="00000000" w:rsidDel="00000000" w:rsidP="00000000" w:rsidRDefault="00000000" w:rsidRPr="00000000" w14:paraId="0000003C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Część zamówienia: Część 3</w:t>
      </w:r>
    </w:p>
    <w:p w:rsidR="00000000" w:rsidDel="00000000" w:rsidP="00000000" w:rsidRDefault="00000000" w:rsidRPr="00000000" w14:paraId="00000043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KOD CPV: 33696500-0 - odczynniki laboratoryjne</w:t>
      </w:r>
    </w:p>
    <w:p w:rsidR="00000000" w:rsidDel="00000000" w:rsidP="00000000" w:rsidRDefault="00000000" w:rsidRPr="00000000" w14:paraId="00000044">
      <w:pPr>
        <w:tabs>
          <w:tab w:val="left" w:leader="none" w:pos="565"/>
        </w:tabs>
        <w:spacing w:line="276" w:lineRule="auto"/>
        <w:ind w:left="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347737991"/>
        <w:tag w:val="goog_rdk_2"/>
      </w:sdtPr>
      <w:sdtContent>
        <w:tbl>
          <w:tblPr>
            <w:tblStyle w:val="Table3"/>
            <w:tblW w:w="8715.0" w:type="dxa"/>
            <w:jc w:val="left"/>
            <w:tblInd w:w="3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30"/>
            <w:gridCol w:w="4170"/>
            <w:gridCol w:w="1245"/>
            <w:gridCol w:w="1470"/>
            <w:tblGridChange w:id="0">
              <w:tblGrid>
                <w:gridCol w:w="1830"/>
                <w:gridCol w:w="4170"/>
                <w:gridCol w:w="1245"/>
                <w:gridCol w:w="147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5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Materiał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6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Dodatkowe wymagania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7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Objętość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8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Ilość sztuk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9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Królicze rekombinowane monoklonalne przeciwciało na białko SMUG1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A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Reagujące z próbkami pochodzenia ludzkiego; kompatybilne z techniką immunofluorescencji i/lub Western Blot; w buforze zawierającym nie więcej niż: 0.1% azydku sodu, PBS, do 40% glicerolu, do 0.1% BSA; o stężeniu przeciwciała pomiędzy 1-2 mg/ml.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B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100 µl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C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2 fiolki</w:t>
                </w:r>
              </w:p>
            </w:tc>
          </w:tr>
        </w:tbl>
      </w:sdtContent>
    </w:sdt>
    <w:p w:rsidR="00000000" w:rsidDel="00000000" w:rsidP="00000000" w:rsidRDefault="00000000" w:rsidRPr="00000000" w14:paraId="0000004D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Część zamówienia: Część 4</w:t>
      </w:r>
    </w:p>
    <w:p w:rsidR="00000000" w:rsidDel="00000000" w:rsidP="00000000" w:rsidRDefault="00000000" w:rsidRPr="00000000" w14:paraId="0000004F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KOD CPV: 33696500-0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odczynniki laboratoryjne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522775850"/>
        <w:tag w:val="goog_rdk_3"/>
      </w:sdtPr>
      <w:sdtContent>
        <w:tbl>
          <w:tblPr>
            <w:tblStyle w:val="Table4"/>
            <w:tblW w:w="8715.0" w:type="dxa"/>
            <w:jc w:val="left"/>
            <w:tblInd w:w="3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75"/>
            <w:gridCol w:w="4140"/>
            <w:gridCol w:w="1275"/>
            <w:gridCol w:w="1425"/>
            <w:tblGridChange w:id="0">
              <w:tblGrid>
                <w:gridCol w:w="1875"/>
                <w:gridCol w:w="4140"/>
                <w:gridCol w:w="1275"/>
                <w:gridCol w:w="142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1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Materiał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2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Dodatkowe wymagania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3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Objętość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4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Ilość sztuk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5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Królicze monoklonalne przeciwciało IgG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6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Kompatybilne z techniką immunofluorescencji i/lub Western Blot; w buforze zawierającym nie więcej niż: 0.2% azydku sodu, PBS, do 2% BSA; o stężeniu przeciwciała pomiędzy 0.5-1 mg/ml.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7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100 µl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8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2 fiolki</w:t>
                </w:r>
              </w:p>
            </w:tc>
          </w:tr>
        </w:tbl>
      </w:sdtContent>
    </w:sdt>
    <w:p w:rsidR="00000000" w:rsidDel="00000000" w:rsidP="00000000" w:rsidRDefault="00000000" w:rsidRPr="00000000" w14:paraId="00000059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Część zamówienia: Część 5</w:t>
      </w:r>
    </w:p>
    <w:p w:rsidR="00000000" w:rsidDel="00000000" w:rsidP="00000000" w:rsidRDefault="00000000" w:rsidRPr="00000000" w14:paraId="0000005B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KOD CPV: 33696500-0 - odczynniki laboratoryjne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386760192"/>
        <w:tag w:val="goog_rdk_4"/>
      </w:sdtPr>
      <w:sdtContent>
        <w:tbl>
          <w:tblPr>
            <w:tblStyle w:val="Table5"/>
            <w:tblW w:w="8715.0" w:type="dxa"/>
            <w:jc w:val="left"/>
            <w:tblInd w:w="3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75"/>
            <w:gridCol w:w="4140"/>
            <w:gridCol w:w="1335"/>
            <w:gridCol w:w="1365"/>
            <w:tblGridChange w:id="0">
              <w:tblGrid>
                <w:gridCol w:w="1875"/>
                <w:gridCol w:w="4140"/>
                <w:gridCol w:w="1335"/>
                <w:gridCol w:w="136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D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Materiał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E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Dodatkowe wymagania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F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Masa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60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Ilość sztuk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61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Królicze rekombinowane monoklonalne przeciwciało na fosforylowane (S656) białko Rad17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62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Reagujące z próbkami pochodzenia ludzkiego, kompatybilne z techniką immunofluorescencji i/lub Western Blot; w buforze zawierającym PBS i pH w zakresie 7.0-7.5; o stężeniu przeciwciała nie mniejszym niż 1 mg/ml.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63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100 µg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64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2 fiolki</w:t>
                </w:r>
              </w:p>
            </w:tc>
          </w:tr>
        </w:tbl>
      </w:sdtContent>
    </w:sdt>
    <w:p w:rsidR="00000000" w:rsidDel="00000000" w:rsidP="00000000" w:rsidRDefault="00000000" w:rsidRPr="00000000" w14:paraId="00000065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565"/>
        </w:tabs>
        <w:spacing w:line="276" w:lineRule="auto"/>
        <w:ind w:left="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Część zamówienia: Część 6</w:t>
      </w:r>
    </w:p>
    <w:p w:rsidR="00000000" w:rsidDel="00000000" w:rsidP="00000000" w:rsidRDefault="00000000" w:rsidRPr="00000000" w14:paraId="0000006B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KOD CPV: 33696500-0 - odczynniki laboratoryjne</w:t>
      </w:r>
    </w:p>
    <w:p w:rsidR="00000000" w:rsidDel="00000000" w:rsidP="00000000" w:rsidRDefault="00000000" w:rsidRPr="00000000" w14:paraId="0000006C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381970582"/>
        <w:tag w:val="goog_rdk_5"/>
      </w:sdtPr>
      <w:sdtContent>
        <w:tbl>
          <w:tblPr>
            <w:tblStyle w:val="Table6"/>
            <w:tblW w:w="8715.0" w:type="dxa"/>
            <w:jc w:val="left"/>
            <w:tblInd w:w="3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60"/>
            <w:gridCol w:w="4155"/>
            <w:gridCol w:w="1335"/>
            <w:gridCol w:w="1365"/>
            <w:tblGridChange w:id="0">
              <w:tblGrid>
                <w:gridCol w:w="1860"/>
                <w:gridCol w:w="4155"/>
                <w:gridCol w:w="1335"/>
                <w:gridCol w:w="136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6D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Materiał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6E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Dodatkowe wymagania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6F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Objętość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0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Ilość sztuk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1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Królicze monoklonalne przeciwciało na białko RPA70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2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Reagujące z próbkami pochodzenia ludzkiego, kompatybilne z techniką immunofluorescencji i/lub Western Blot; w buforze zawierającym nie więcej niż: 0.1% azydku sodu, PBS, do 40% glicerolu, do 1% BSA; o pH w zakresie 7.0-7.5; o stężeniu przeciwciała pomiędzy 0.1-1 mg/ml.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3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100 µl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4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 fiolka</w:t>
                </w:r>
              </w:p>
            </w:tc>
          </w:tr>
        </w:tbl>
      </w:sdtContent>
    </w:sdt>
    <w:p w:rsidR="00000000" w:rsidDel="00000000" w:rsidP="00000000" w:rsidRDefault="00000000" w:rsidRPr="00000000" w14:paraId="00000075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Część zamówienia: Część 7</w:t>
      </w:r>
    </w:p>
    <w:p w:rsidR="00000000" w:rsidDel="00000000" w:rsidP="00000000" w:rsidRDefault="00000000" w:rsidRPr="00000000" w14:paraId="00000078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KOD CPV: 33696500-0 - odczynniki laboratoryjne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704021216"/>
        <w:tag w:val="goog_rdk_6"/>
      </w:sdtPr>
      <w:sdtContent>
        <w:tbl>
          <w:tblPr>
            <w:tblStyle w:val="Table7"/>
            <w:tblW w:w="8715.0" w:type="dxa"/>
            <w:jc w:val="left"/>
            <w:tblInd w:w="3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60"/>
            <w:gridCol w:w="4155"/>
            <w:gridCol w:w="1335"/>
            <w:gridCol w:w="1365"/>
            <w:tblGridChange w:id="0">
              <w:tblGrid>
                <w:gridCol w:w="1860"/>
                <w:gridCol w:w="4155"/>
                <w:gridCol w:w="1335"/>
                <w:gridCol w:w="136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A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Materiał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B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Dodatkowe wymagania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C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Objętość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D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Ilość sztuk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E">
                <w:pPr>
                  <w:widowControl w:val="0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Królicze monoklonalne przeciwciało na białko Rad51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F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Reagujące z próbkami pochodzenia ludzkiego, mysiego i szczurzego; kompatybilne z techniką immunofluorescencji i/lub Western Blot; w buforze zawierającym nie więcej niż: 0.1% azydku sodu, PBS, do 40% glicerolu, do 1% BSA;o pH w zakresie 7.0-7.5; o stężeniu przeciwciała pomiędzy 1.5-2 mg/ml.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0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100 µl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1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 fiolka</w:t>
                </w:r>
              </w:p>
            </w:tc>
          </w:tr>
        </w:tbl>
      </w:sdtContent>
    </w:sdt>
    <w:p w:rsidR="00000000" w:rsidDel="00000000" w:rsidP="00000000" w:rsidRDefault="00000000" w:rsidRPr="00000000" w14:paraId="00000082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Część zamówienia: Część 8</w:t>
      </w:r>
    </w:p>
    <w:p w:rsidR="00000000" w:rsidDel="00000000" w:rsidP="00000000" w:rsidRDefault="00000000" w:rsidRPr="00000000" w14:paraId="00000084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KOD CPV: 33696500-0 - odczynniki laboratoryjne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133110521"/>
        <w:tag w:val="goog_rdk_7"/>
      </w:sdtPr>
      <w:sdtContent>
        <w:tbl>
          <w:tblPr>
            <w:tblStyle w:val="Table8"/>
            <w:tblW w:w="8715.0" w:type="dxa"/>
            <w:jc w:val="left"/>
            <w:tblInd w:w="3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60"/>
            <w:gridCol w:w="4155"/>
            <w:gridCol w:w="1335"/>
            <w:gridCol w:w="1365"/>
            <w:tblGridChange w:id="0">
              <w:tblGrid>
                <w:gridCol w:w="1860"/>
                <w:gridCol w:w="4155"/>
                <w:gridCol w:w="1335"/>
                <w:gridCol w:w="136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6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Materiał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7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Dodatkowe wymagania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8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Objętość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9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Ilość sztuk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A">
                <w:pPr>
                  <w:widowControl w:val="0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Królicze monoklonalne przeciwciało na białko RPA32/RPA2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B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Reagujące z próbkami pochodzenia ludzkiego, mysiego i szczurzego; kompatybilne z techniką immunofluorescencji i/lub Western Blot; w buforze zawierającym nie więcej niż: 0.1% azydku sodu, PBS, do 40% glicerolu, do 0.1% BSA; o pH w zakresie 7.0-7.5; o stężeniu przeciwciała pomiędzy 0.1-1 mg/ml.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C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100 µl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D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 fiolka</w:t>
                </w:r>
              </w:p>
            </w:tc>
          </w:tr>
        </w:tbl>
      </w:sdtContent>
    </w:sdt>
    <w:p w:rsidR="00000000" w:rsidDel="00000000" w:rsidP="00000000" w:rsidRDefault="00000000" w:rsidRPr="00000000" w14:paraId="0000008E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Część zamówienia: Część 9</w:t>
      </w:r>
    </w:p>
    <w:p w:rsidR="00000000" w:rsidDel="00000000" w:rsidP="00000000" w:rsidRDefault="00000000" w:rsidRPr="00000000" w14:paraId="00000090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KOD CPV: 33696500-0 - odczynniki laboratoryjne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617209977"/>
        <w:tag w:val="goog_rdk_8"/>
      </w:sdtPr>
      <w:sdtContent>
        <w:tbl>
          <w:tblPr>
            <w:tblStyle w:val="Table9"/>
            <w:tblW w:w="8715.0" w:type="dxa"/>
            <w:jc w:val="left"/>
            <w:tblInd w:w="3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60"/>
            <w:gridCol w:w="4155"/>
            <w:gridCol w:w="1335"/>
            <w:gridCol w:w="1365"/>
            <w:tblGridChange w:id="0">
              <w:tblGrid>
                <w:gridCol w:w="1860"/>
                <w:gridCol w:w="4155"/>
                <w:gridCol w:w="1335"/>
                <w:gridCol w:w="136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2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Materiał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3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Dodatkowe wymagania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4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Objętość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5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Ilość sztuk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6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Królicze poliklonalne przeciwciało na fosforylowane (S33) białko RPA32/RPA2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7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Reagujące z próbkami pochodzenia ludzkiego, kompatybilne z techniką Western Blot; w buforze zawierającym poniżej 0.1% azydku sodu oraz powyżej 90% fosforanu/cytrynianu trisodowego; o stężeniu przeciwciała nie mniejszym niż 1 mg/ml.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8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100 µl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9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 fiolka</w:t>
                </w:r>
              </w:p>
            </w:tc>
          </w:tr>
        </w:tbl>
      </w:sdtContent>
    </w:sdt>
    <w:p w:rsidR="00000000" w:rsidDel="00000000" w:rsidP="00000000" w:rsidRDefault="00000000" w:rsidRPr="00000000" w14:paraId="0000009A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Część zamówienia: Część 10</w:t>
      </w:r>
    </w:p>
    <w:p w:rsidR="00000000" w:rsidDel="00000000" w:rsidP="00000000" w:rsidRDefault="00000000" w:rsidRPr="00000000" w14:paraId="0000009D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KOD CPV: 33696500-0 - odczynniki laboratoryjne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2120095869"/>
        <w:tag w:val="goog_rdk_9"/>
      </w:sdtPr>
      <w:sdtContent>
        <w:tbl>
          <w:tblPr>
            <w:tblStyle w:val="Table10"/>
            <w:tblW w:w="8715.0" w:type="dxa"/>
            <w:jc w:val="left"/>
            <w:tblInd w:w="3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60"/>
            <w:gridCol w:w="4155"/>
            <w:gridCol w:w="1335"/>
            <w:gridCol w:w="1365"/>
            <w:tblGridChange w:id="0">
              <w:tblGrid>
                <w:gridCol w:w="1860"/>
                <w:gridCol w:w="4155"/>
                <w:gridCol w:w="1335"/>
                <w:gridCol w:w="136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F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Materiał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0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Dodatkowe wymagania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1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Masa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2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Ilość sztuk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3">
                <w:pPr>
                  <w:widowControl w:val="0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Mysie monoklonalne przeciwciało na helikazę WRN syndromu Wernera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4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Reagujące z próbkami pochodzenia ludzkiego, kompatybilne z techniką immunofluorescencji i/lub Western Blot; w buforze zawierającym poniżej 0.1% azydku sodu, PBS i do 7% L-Argininy; o stężeniu przeciwciała nie mniejszym niż 1 mg/ml.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5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100 µg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6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1 fiolka</w:t>
                </w:r>
              </w:p>
            </w:tc>
          </w:tr>
        </w:tbl>
      </w:sdtContent>
    </w:sdt>
    <w:p w:rsidR="00000000" w:rsidDel="00000000" w:rsidP="00000000" w:rsidRDefault="00000000" w:rsidRPr="00000000" w14:paraId="000000A7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Część zamówienia: Część 11</w:t>
      </w:r>
    </w:p>
    <w:p w:rsidR="00000000" w:rsidDel="00000000" w:rsidP="00000000" w:rsidRDefault="00000000" w:rsidRPr="00000000" w14:paraId="000000A9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KOD CPV: 33696500-0 - odczynniki laboratoryjne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tabs>
          <w:tab w:val="left" w:leader="none" w:pos="565"/>
        </w:tabs>
        <w:spacing w:line="276" w:lineRule="auto"/>
        <w:ind w:left="36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423179233"/>
        <w:tag w:val="goog_rdk_10"/>
      </w:sdtPr>
      <w:sdtContent>
        <w:tbl>
          <w:tblPr>
            <w:tblStyle w:val="Table11"/>
            <w:tblW w:w="8715.0" w:type="dxa"/>
            <w:jc w:val="left"/>
            <w:tblInd w:w="3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60"/>
            <w:gridCol w:w="4155"/>
            <w:gridCol w:w="1335"/>
            <w:gridCol w:w="1365"/>
            <w:tblGridChange w:id="0">
              <w:tblGrid>
                <w:gridCol w:w="1860"/>
                <w:gridCol w:w="4155"/>
                <w:gridCol w:w="1335"/>
                <w:gridCol w:w="136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B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Materiał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C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Dodatkowe wymagania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D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Objętość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E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2"/>
                    <w:szCs w:val="22"/>
                    <w:rtl w:val="0"/>
                  </w:rPr>
                  <w:t xml:space="preserve">Ilość sztuk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F">
                <w:pPr>
                  <w:widowControl w:val="0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Królicze monoklonalne przeciwciało na białko winkulinę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B0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Reagujące z próbkami pochodzenia </w:t>
                </w: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ludzkiego, mysiego, i szczurzego</w:t>
                </w: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; kompatybilne z techniką immunofluorescencji i/lub Western Blot; w buforze zawierającym poniżej 0.1% azydku sodu, do 10 mM HEPES-u sodowego, poniżej 200 mM NaCl, do 50% glicerolu.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B1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20 µl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B2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3 fiolki</w:t>
                </w:r>
              </w:p>
            </w:tc>
          </w:tr>
        </w:tbl>
      </w:sdtContent>
    </w:sdt>
    <w:p w:rsidR="00000000" w:rsidDel="00000000" w:rsidP="00000000" w:rsidRDefault="00000000" w:rsidRPr="00000000" w14:paraId="000000B3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left" w:leader="none" w:pos="565"/>
        </w:tabs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Postępowanie jest realizowane w ramach projektu: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FENG.01.01-IP.02-1682/23.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Projekt jest współfinansowany przez Unię Europejską ze środków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Funduszy Europejskich dla Nowoczesnej Gospodarki.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Niniejsze postępowanie o udzielenie zamówienia prowadzone jest zgodnie z zasadą konkurencyjności, określoną w Wytycznych Ministra Funduszy i Polityki Regionalnej z dnia 18 listopada 2022 r. w zakresie kwalifikowalności wydatków w ramach Europejskiego Funduszu Rozwoju Regionalnego, Europejskiego Funduszu Społecznego Plus, Funduszu Spójności oraz Funduszu na rzecz Sprawiedliwej Transformacji na lata 2021-2027, zwanymi dalej: „Wytycznymi Ministra Funduszy i Polityki Regionalnej”.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zakresie nieuregulowanym w niniejszym Zapytaniu ofertowym stosuje się przepisy prawa polskiego, w szczególności Kodeksu cywilnego, jak też Wytyczne Ministra Funduszy i Polityki Regionalnej z dnia 18 listopada 2022 r. w zakresie kwalifikowalności wydatków w ramach Europejskiego Funduszu Rozwoju Regionalnego, Europejskiego Funduszu Społecznego Plus, Funduszu Spójności oraz Funduszu na rzecz Sprawiedliwej Transformacji na lata 2021-2027.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dopuszcza możliwoś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składania ofert częściowyc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h na poszczególne części zamówienia wskazane wyżej.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Zamawiający nie dopuszcza możliwości składania ofert wariantowych.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200" w:before="0" w:line="276" w:lineRule="auto"/>
        <w:ind w:left="720" w:right="0" w:hanging="36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PRAWA WŁASNOŚCI INTELEKTUALNEJ</w:t>
        <w:br w:type="textWrapping"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(postanowienia niniejszego punktu znajdują zastosowanie wyłącznie w zakresie, w jakim przedmiot zamówienia obejmuje powstanie lub przeniesienie praw własności intelektualnej).</w:t>
      </w:r>
    </w:p>
    <w:p w:rsidR="00000000" w:rsidDel="00000000" w:rsidP="00000000" w:rsidRDefault="00000000" w:rsidRPr="00000000" w14:paraId="000000BE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Wszelkie prawa własności intelektualnej do wyników prac wytworzonych w wyniku realizacji usługi będącej przedmiotem zamówienia przysługują Zamawiającemu, przy czym Zamawiający i Oferent zachowują prawa do własności intelektualnej stworzonej przez siebie przed zawarciem odpowiedniej umowy i realizacją usługi.</w:t>
      </w:r>
    </w:p>
    <w:p w:rsidR="00000000" w:rsidDel="00000000" w:rsidP="00000000" w:rsidRDefault="00000000" w:rsidRPr="00000000" w14:paraId="000000BF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Prawa własności przemysłowej do dóbr intelektualnych mających cechy wynalazku, wzoru użytkowego, wzoru przemysłowego lub dodatkowego prawa ochronnego uzyskane w ramach realizacji przedmiotu zamówienia, przysługują Zamawiającemu z prawem do:</w:t>
      </w:r>
    </w:p>
    <w:p w:rsidR="00000000" w:rsidDel="00000000" w:rsidP="00000000" w:rsidRDefault="00000000" w:rsidRPr="00000000" w14:paraId="000000C0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a) dokonywania zgłoszeń na wynalazek w celu uzyskania patentu,</w:t>
      </w:r>
    </w:p>
    <w:p w:rsidR="00000000" w:rsidDel="00000000" w:rsidP="00000000" w:rsidRDefault="00000000" w:rsidRPr="00000000" w14:paraId="000000C1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b) dokonywania zgłoszeń wzoru użytkowego w celu uzyskania prawa ochronnego,</w:t>
      </w:r>
    </w:p>
    <w:p w:rsidR="00000000" w:rsidDel="00000000" w:rsidP="00000000" w:rsidRDefault="00000000" w:rsidRPr="00000000" w14:paraId="000000C2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c) dokonywania zgłoszeń wzorów przemysłowych w celu uzyskania prawa z rejestracji,</w:t>
      </w:r>
    </w:p>
    <w:p w:rsidR="00000000" w:rsidDel="00000000" w:rsidP="00000000" w:rsidRDefault="00000000" w:rsidRPr="00000000" w14:paraId="000000C3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d) dokonywania zgłoszeń dodatkowych świadectw ochronnych dla produktów leczniczych oraz produktów ochrony roślin.</w:t>
      </w:r>
    </w:p>
    <w:p w:rsidR="00000000" w:rsidDel="00000000" w:rsidP="00000000" w:rsidRDefault="00000000" w:rsidRPr="00000000" w14:paraId="000000C4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Jeżeli produkty usługi wytworzone w trakcie realizacji przedmiotu zamówienia, będą stanowiły produkty stanowiące utwór w rozumieniu ustawy z dnia 4 lutego 1994 r. o prawie autorskim i prawach pokrewnych (dalej „Utwór”), Oferent przeniesie na Zamawiającego autorskie prawa majątkowe do tych produktów, w szczególności na następujących polach eksploatacji:</w:t>
      </w:r>
    </w:p>
    <w:p w:rsidR="00000000" w:rsidDel="00000000" w:rsidP="00000000" w:rsidRDefault="00000000" w:rsidRPr="00000000" w14:paraId="000000C5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a) w zakresie utrwalania i zwielokrotniania Utworu - wytwarzanie określoną techniką egzemplarzy Utworu, w tym techniką drukarską, reprograficzną, zapisu magnetycznego oraz techniką cyfrową;</w:t>
      </w:r>
    </w:p>
    <w:p w:rsidR="00000000" w:rsidDel="00000000" w:rsidP="00000000" w:rsidRDefault="00000000" w:rsidRPr="00000000" w14:paraId="000000C6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b) w zakresie obrotu oryginałem albo egzemplarzami, na których Utwór utrwalono - wprowadzanie do obrotu, użyczenie lub najem oryginału albo egzemplarzy;</w:t>
      </w:r>
    </w:p>
    <w:p w:rsidR="00000000" w:rsidDel="00000000" w:rsidP="00000000" w:rsidRDefault="00000000" w:rsidRPr="00000000" w14:paraId="000000C7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c) w zakresie rozpowszechniania Utworu - publiczne wykonanie, wystawienie, wyświetlenie, odtworzenie oraz nadawanie i reemitowanie, a także publiczne udostępnianie Utworu w taki sposób, aby każdy mógł mieć do nich dostęp w miejscu i w czasie przez siebie wybranym.</w:t>
      </w:r>
    </w:p>
    <w:p w:rsidR="00000000" w:rsidDel="00000000" w:rsidP="00000000" w:rsidRDefault="00000000" w:rsidRPr="00000000" w14:paraId="000000C8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d) w zakresie przystosowywania, zmiany układu lub jakichkolwiek zmian, w tym zmian dotyczących treści i grafiki.</w:t>
      </w:r>
    </w:p>
    <w:p w:rsidR="00000000" w:rsidDel="00000000" w:rsidP="00000000" w:rsidRDefault="00000000" w:rsidRPr="00000000" w14:paraId="000000C9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Zamawiający uzyskuje wyłączne prawo do zezwalania na wykonywanie praw zależnych do Utworów oraz uzyskuje zgodę Oferenta na dokonywanie tłumaczeń, adaptacji i innych opracowań Utworów.</w:t>
      </w:r>
    </w:p>
    <w:p w:rsidR="00000000" w:rsidDel="00000000" w:rsidP="00000000" w:rsidRDefault="00000000" w:rsidRPr="00000000" w14:paraId="000000CA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Oferent zobowiązuje się nie wykonywać osobistych praw autorskich do Utworów i zapewnić niewykonywania takich praw autorskich przez twórcę.</w:t>
      </w:r>
    </w:p>
    <w:p w:rsidR="00000000" w:rsidDel="00000000" w:rsidP="00000000" w:rsidRDefault="00000000" w:rsidRPr="00000000" w14:paraId="000000CB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Mogące wystąpić w zapytaniu ofertowym oraz jego załącznikach nazwy własne (znaki towarowe) mają charakter przykładowy, a ich wskazanie ma na celu określenie oczekiwanego standardu, przy czym Zamawiający dopuszcza składanie „ofert równoważnych". Przez „ofertę równoważną" należy rozumieć taką, która przedstawia opis przedmiotu zamówienia o takich samych lub lepszych parametrach technicznych, jakościowych, funkcjonalnych spełniających minimalne parametry określone przez Zamawiającego, lecz oznaczoną innym znakiem towarowym, patentem lub pochodzeniem.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Harmonogram realizacji: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Wymaga się wykonania usług dostawy w terminie maksymalnie 30 dni od dnia następującego po podpisaniu umowy z wybranym Wykonawcą. Podpisanie umowy zaplanowano na połowę maja 2026. Nieterminowa realizacja będzie obwarowana naliczeniem kar umownych, za wyjątkiem ewentualnych opóźnień w projekcie powstałych z przyczyn niezależnych od Oferenta.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Część zapytania obejmują załączniki:</w:t>
      </w:r>
    </w:p>
    <w:p w:rsidR="00000000" w:rsidDel="00000000" w:rsidP="00000000" w:rsidRDefault="00000000" w:rsidRPr="00000000" w14:paraId="000000CE">
      <w:pPr>
        <w:spacing w:after="12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Załącznik nr 2 – Formularz oferty (wymagany wraz z zawartymi oświadczeniami/klauzulami i wymienionymi załącznikami)</w:t>
      </w:r>
    </w:p>
    <w:p w:rsidR="00000000" w:rsidDel="00000000" w:rsidP="00000000" w:rsidRDefault="00000000" w:rsidRPr="00000000" w14:paraId="000000CF">
      <w:pPr>
        <w:spacing w:after="12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Załącznik nr 3 – Oświadczenie o braku powiązań z Zamawiającym (wymagany)</w:t>
      </w:r>
    </w:p>
    <w:p w:rsidR="00000000" w:rsidDel="00000000" w:rsidP="00000000" w:rsidRDefault="00000000" w:rsidRPr="00000000" w14:paraId="000000D0">
      <w:pPr>
        <w:spacing w:after="12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Załącznik nr 4 – Klauzula o przetwarzaniu danych osobowych (informacyjny)</w:t>
      </w:r>
    </w:p>
    <w:p w:rsidR="00000000" w:rsidDel="00000000" w:rsidP="00000000" w:rsidRDefault="00000000" w:rsidRPr="00000000" w14:paraId="000000D1">
      <w:pPr>
        <w:spacing w:after="12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Dodatkowo do załączenia przez Dostawcę: dokumenty zawierające specyfikację materiałów stanowiących przedmiot oferty.</w:t>
      </w:r>
    </w:p>
    <w:p w:rsidR="00000000" w:rsidDel="00000000" w:rsidP="00000000" w:rsidRDefault="00000000" w:rsidRPr="00000000" w14:paraId="000000D2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12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5"/>
        </w:tabs>
        <w:spacing w:after="200" w:before="0" w:line="276" w:lineRule="auto"/>
        <w:ind w:left="720" w:right="0" w:hanging="36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KRYTERIA DOSTĘPOWE: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Sytuacja ekonomiczna i finansowa:</w:t>
      </w:r>
    </w:p>
    <w:p w:rsidR="00000000" w:rsidDel="00000000" w:rsidP="00000000" w:rsidRDefault="00000000" w:rsidRPr="00000000" w14:paraId="000000D6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Wykonawca powinien znajdować się w sytuacji ekonomicznej i finansowej umożliwiającej prawidłowe wykonanie przedmiotu zamówienia. W celu oceny spełnienia przez Wykonawcę niniejszego warunku, Wykonawca przedłoży oświadczenie, że nie zalega w opłacaniu podatków oraz składek na ubezpieczenia zdrowotne i społeczne. Oświadczenie to stanowi część formularza ofertowego – załącznika nr 2 do niniejszego zapytania ofertowego.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Dodatkowe warunki:</w:t>
      </w:r>
    </w:p>
    <w:p w:rsidR="00000000" w:rsidDel="00000000" w:rsidP="00000000" w:rsidRDefault="00000000" w:rsidRPr="00000000" w14:paraId="000000D8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 przypadku planowania wykorzystania przez Oferenta usług podwykonawców w ramach realizacji projektu, opisane w Zapytaniu Ofertowym, konieczne jest dokładne przedstawienie w ofercie zakresu prac, które będą delegowane na podwykonawców. Oferent będzie odpowiedzialny za wszelkie działania oraz zaniechania swoich podwykonawców w równym stopniu, jak za działania własne. </w:t>
      </w:r>
    </w:p>
    <w:p w:rsidR="00000000" w:rsidDel="00000000" w:rsidP="00000000" w:rsidRDefault="00000000" w:rsidRPr="00000000" w14:paraId="000000D9">
      <w:pPr>
        <w:tabs>
          <w:tab w:val="left" w:leader="none" w:pos="565"/>
        </w:tabs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Z udziału w postępowaniu wykluczone są podmioty powiązane osobowo i kapitałowo z zamawiającym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DA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 celu uniknięcia konfliktu interesów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000000" w:rsidDel="00000000" w:rsidP="00000000" w:rsidRDefault="00000000" w:rsidRPr="00000000" w14:paraId="000000DB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DC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DD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c) pozostawaniu z wykonawcą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DE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Wykonawca zobowiązany jest dołączyć do oferty oświadczenie o braku ww. powiązań według wzoru załączonego do niniejszego zapytania ofertowego.</w:t>
      </w:r>
    </w:p>
    <w:p w:rsidR="00000000" w:rsidDel="00000000" w:rsidP="00000000" w:rsidRDefault="00000000" w:rsidRPr="00000000" w14:paraId="000000DF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1"/>
        <w:keepLines w:val="1"/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Oferent jest zobowiązany do podpisania Oświadczenia o braku powiązań osobowych/kapitałowych z Zamawiającym (oświadczenie stanowi Załącznik nr 3 do Zapytania Ofertowego).</w:t>
      </w:r>
    </w:p>
    <w:p w:rsidR="00000000" w:rsidDel="00000000" w:rsidP="00000000" w:rsidRDefault="00000000" w:rsidRPr="00000000" w14:paraId="000000E1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Oferent jest zobowiązany do załączenia dokumentów zawierających specyfikację materiałów stanowiących przedmiot oferty.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1"/>
        <w:keepLines w:val="1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1"/>
        <w:keepLines w:val="1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WARUNKI ZMIANY UMOWY:</w:t>
      </w:r>
    </w:p>
    <w:p w:rsidR="00000000" w:rsidDel="00000000" w:rsidP="00000000" w:rsidRDefault="00000000" w:rsidRPr="00000000" w14:paraId="000000E4">
      <w:pPr>
        <w:shd w:fill="ffffff" w:val="clear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Zawarcie umowy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Oferent, którego oferta zostanie uznana za najkorzystniejszą zostanie zaproszony do podpisania umowy na realizację przedmiotu zamówienia. Miejsce i termin zawarcia Umowy wskaże Zamawiający.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hd w:fill="ffffff" w:val="clear"/>
        <w:spacing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Warunki zmiany umowy:</w:t>
      </w:r>
    </w:p>
    <w:p w:rsidR="00000000" w:rsidDel="00000000" w:rsidP="00000000" w:rsidRDefault="00000000" w:rsidRPr="00000000" w14:paraId="000000E7">
      <w:pPr>
        <w:shd w:fill="ffffff" w:val="clear"/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Zamawiający przewiduje możliwość zmian postanowień Umowy w stosunku do treści oferty, na podstawie, której dokonano wyboru Wykonawcy, w przypadku wystąpienia, co najmniej jednej z okoliczności wymienionych poniżej, z uwzględnieniem podawanych warunków ich wprowadzenia.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dopuszcza wprowadzenie zmian technicznych i technologicznych w realizacji przedmiotu Umowy (zmiany sposobu spełnienia świadczenia), za jego uprzednią zgodą, w przypadku, gdy wystąpi: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niedostępność na rynku materiałów lub urządzeń wskazanych w ofercie spowodowana zaprzestaniem produkcji lub wycofaniem z rynku tych materiałów lub urządzeń;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pojawienie się na rynku materiałów lub urządzeń nowszej generacji pozwalających na zaoszczędzenie kosztów realizacji przedmiotu Umowy;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konieczność zrealizowania przedmiotu Umowy przy zastosowaniu innych rozwiązań technicznych lub materiałowych ze względu na zmiany obowiązującego prawa.</w:t>
      </w:r>
    </w:p>
    <w:p w:rsidR="00000000" w:rsidDel="00000000" w:rsidP="00000000" w:rsidRDefault="00000000" w:rsidRPr="00000000" w14:paraId="000000EC">
      <w:pPr>
        <w:shd w:fill="ffffff" w:val="clear"/>
        <w:spacing w:after="200"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Ww. zmiany nie mogą stanowić podstawy zwiększenia wynagrodzenia. Każda z ww. zmian może być powiązana z obniżeniem wynagrodzenia.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dopuszcza wprowadzenie zmian w terminie zakończenia realizacji zamówienia w następujących sytuacjach:</w:t>
      </w:r>
    </w:p>
    <w:p w:rsidR="00000000" w:rsidDel="00000000" w:rsidP="00000000" w:rsidRDefault="00000000" w:rsidRPr="00000000" w14:paraId="000000EE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221"/>
        </w:tabs>
        <w:spacing w:line="276" w:lineRule="auto"/>
        <w:ind w:left="1221" w:hanging="425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wystąpienia siły wyższej, uniemożliwiającej terminowe wykonanie przedmiotu Umowy, przy czym Oferent zobowiązany jest do udowodnienia wystąpienia takiej siły wyższej oraz wskazania wpływu, jaki to zdarzenie miało na przebieg realizacji zamówienia</w:t>
      </w:r>
    </w:p>
    <w:p w:rsidR="00000000" w:rsidDel="00000000" w:rsidP="00000000" w:rsidRDefault="00000000" w:rsidRPr="00000000" w14:paraId="000000EF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221"/>
        </w:tabs>
        <w:spacing w:line="276" w:lineRule="auto"/>
        <w:ind w:left="1221" w:hanging="425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zaistnienia innych nadzwyczajnych okoliczności niż siła wyższa, uniemożliwiających terminowe wykonanie przedmiotu Umowy, których Strony, przy dochowaniu należytej staranności, nie przewidziały przy zawarciu Umowy i nie są przez nich zawinione;</w:t>
      </w:r>
    </w:p>
    <w:p w:rsidR="00000000" w:rsidDel="00000000" w:rsidP="00000000" w:rsidRDefault="00000000" w:rsidRPr="00000000" w14:paraId="000000F0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221"/>
        </w:tabs>
        <w:spacing w:line="276" w:lineRule="auto"/>
        <w:ind w:left="1221" w:hanging="425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zawieszenia realizacji zamówienia przez Zamawiającego z powodu wystąpienia przyczyn technicznych lub organizacyjnych uniemożliwiających kontynuowanie wykonywania przedmiotu Umowy, o czas zawieszenia. O zawieszeniu realizacji zamówienia Zamawiający powiadomi Oferenta wskazując przyczynę zawieszenia;</w:t>
      </w:r>
    </w:p>
    <w:p w:rsidR="00000000" w:rsidDel="00000000" w:rsidP="00000000" w:rsidRDefault="00000000" w:rsidRPr="00000000" w14:paraId="000000F1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221"/>
        </w:tabs>
        <w:spacing w:line="276" w:lineRule="auto"/>
        <w:ind w:left="1221" w:hanging="425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konieczności wprowadzenia zmian w przedmiocie Umowy na skutek okoliczności, których Zamawiający lub Oferent nie mogli, działając z należytą starannością przewidzieć w chwili zawarcia Umowy, w szczególności grożących rażącą stratą, niewykonaniem lub wadliwym wykonaniem przedmiotu Umowy, przy czym zmiany te nie prowadzą do zmiany charakteru Umowy;</w:t>
      </w:r>
    </w:p>
    <w:p w:rsidR="00000000" w:rsidDel="00000000" w:rsidP="00000000" w:rsidRDefault="00000000" w:rsidRPr="00000000" w14:paraId="000000F2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221"/>
        </w:tabs>
        <w:spacing w:line="276" w:lineRule="auto"/>
        <w:ind w:left="1221" w:hanging="425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Wydłużenia postępowań w sprawie wydawania decyzji administracyjnych związanych z przedmiotem umowy, o ile nie zostało to spowodowane z przyczyn leżących po stronie Wykonawcy.</w:t>
      </w:r>
    </w:p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567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Ww. zmiany nie mogą stanowić podstawy zwiększenia wynagrodzenia. Każda z ww. zmian może być powiązana z obniżeniem wynagrodzenia.</w:t>
      </w:r>
    </w:p>
    <w:p w:rsidR="00000000" w:rsidDel="00000000" w:rsidP="00000000" w:rsidRDefault="00000000" w:rsidRPr="00000000" w14:paraId="000000F4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  <w:tab w:val="left" w:leader="none" w:pos="426"/>
        </w:tabs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Zamawiający dopuszcza możliwość wprowadzenia zmian w przedmiocie Umowy lub rezygnacji przez Zamawiającego z realizacji części przedmiotu Umowy w przypadku:</w:t>
      </w:r>
    </w:p>
    <w:p w:rsidR="00000000" w:rsidDel="00000000" w:rsidP="00000000" w:rsidRDefault="00000000" w:rsidRPr="00000000" w14:paraId="000000F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221" w:hanging="425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wystąpienia siły wyższej, uniemożliwiającej wykonanie przedmiotu Umowy, przy czym Oferent zobowiązany jest do udowodnienia wystąpienia takiej siły wyższej oraz wskazania wpływu, jakie zdarzenie miało na przebieg realizacji zamówienia</w:t>
      </w:r>
    </w:p>
    <w:p w:rsidR="00000000" w:rsidDel="00000000" w:rsidP="00000000" w:rsidRDefault="00000000" w:rsidRPr="00000000" w14:paraId="000000F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221" w:hanging="425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zaistnienia innych nadzwyczajnych okoliczności niż siła wyższa, w szczególności grożących rażącą stratą, niewykonaniem lub wadliwym wykonaniem przedmiotu Umowy, których Strony, przy dochowaniu należytej staranności, nie przewidziały przy zawarciu Umowy i nie są przez nich zawinione;</w:t>
      </w:r>
    </w:p>
    <w:p w:rsidR="00000000" w:rsidDel="00000000" w:rsidP="00000000" w:rsidRDefault="00000000" w:rsidRPr="00000000" w14:paraId="000000F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221" w:hanging="425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zmiany w obowiązujących przepisach prawa, mającej wpływ na przedmiot i warunki umowy oraz zmiana sytuacji prawnej lub faktycznej Oferenta i/lub Zamawiającego skutkująca niemożliwością realizacji przedmiotu umowy</w:t>
      </w:r>
    </w:p>
    <w:p w:rsidR="00000000" w:rsidDel="00000000" w:rsidP="00000000" w:rsidRDefault="00000000" w:rsidRPr="00000000" w14:paraId="000000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00" w:line="276" w:lineRule="auto"/>
        <w:ind w:left="72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Ww. zmiany nie mogą stanowić podstawy zwiększenia wynagrodzenia. Każda z ww. zmian może być powiązana ze zmniejszeniem wynagrodzenia.</w:t>
      </w:r>
    </w:p>
    <w:p w:rsidR="00000000" w:rsidDel="00000000" w:rsidP="00000000" w:rsidRDefault="00000000" w:rsidRPr="00000000" w14:paraId="000000F9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Wynagrodzenie Oferenta określone w umowie może ulec zmianom w przypadku: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76" w:lineRule="auto"/>
        <w:ind w:left="108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zmiany obowiązującej stawki VAT – jeśli zmiana stawki VAT będzie powodować zwiększenie kosztów wykonania umowy po stronie Oferenta, Zamawiający dopuszcza możliwość zwiększenia wynagrodzenia o kwotę równą różnicy w kwocie podatku zapłaconego przez Oferenta,</w:t>
      </w:r>
    </w:p>
    <w:p w:rsidR="00000000" w:rsidDel="00000000" w:rsidP="00000000" w:rsidRDefault="00000000" w:rsidRPr="00000000" w14:paraId="000000FB">
      <w:pPr>
        <w:shd w:fill="ffffff" w:val="clear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36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Jeżeli w toku realizacji projektu realizowanego przez Zamawiającego, właściwa Instytucja sformułuje rekomendacje dotyczące zmian w Projekcie wpływających na zakres tej umowy, umowa może zostać zmieniona w zakresie odpowiadającym dokonanym zmianom w Projekcie.  </w:t>
      </w:r>
    </w:p>
    <w:p w:rsidR="00000000" w:rsidDel="00000000" w:rsidP="00000000" w:rsidRDefault="00000000" w:rsidRPr="00000000" w14:paraId="000000F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36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Jeżeli w toku realizacji Umowy zmianie ulegną obowiązujące przepisy prawa wspólnotowego lub polskiego lub Wytyczne lub jakiekolwiek inne reguły obejmujące zasady realizacji i rozliczania Projektu, umowa może ulec zmianie w zakresie odpowiadającym zmianom we właściwych przepisach prawa. </w:t>
      </w:r>
    </w:p>
    <w:p w:rsidR="00000000" w:rsidDel="00000000" w:rsidP="00000000" w:rsidRDefault="00000000" w:rsidRPr="00000000" w14:paraId="000000F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36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Zmianie mogą ulec terminy i warunki płatności, a także terminy realizacji poszczególnych zadań projektowych (jeżeli dotyczy).</w:t>
      </w:r>
    </w:p>
    <w:p w:rsidR="00000000" w:rsidDel="00000000" w:rsidP="00000000" w:rsidRDefault="00000000" w:rsidRPr="00000000" w14:paraId="000000F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36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miany organizacyjne polegającej na zmianie osób, podwykonawców, grup wykonawców i innych podmiotów współpracujących przy realizacji zamówienia pod warunkiem, że ich uprawnienia, potencjał ekonomiczny, wykonawczy i doświadczenie nie są gorsze od tych, jakie posiadają podmioty zamieniane. Zmiany te mogą nastąpić z przyczyn organizacyjnych pod warunkiem, że osoby podwykonawcy, grupy wykonawców i innych podmiotów spełniają wszystkie wymogi wynikające z zapytania ofertowego i złożonej oferty;</w:t>
      </w:r>
    </w:p>
    <w:p w:rsidR="00000000" w:rsidDel="00000000" w:rsidP="00000000" w:rsidRDefault="00000000" w:rsidRPr="00000000" w14:paraId="000001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3.2.4 pkt 4 lit a-e podrozdziału 3.2. Zasada konkurencyjności Wytycznych Ministra Funduszy i Polityki Regionalnej z dnia 18 listopada 2022 r. w zakresie kwalifikowalności wydatków w ramach Europejskiego Funduszu Rozwoju Regionalnego, Europejskiego Funduszu Społecznego Plus, Funduszu Spójności oraz Funduszu na rzecz Sprawiedliwej Transformacji na lata 2021-2027, tj. Zamawiający dopuszcza zlecenie Wykonawcy dodatkowych zamówień, przy czym po łącznym spełnieniu poniżej wskazanych warunków:</w:t>
      </w:r>
    </w:p>
    <w:p w:rsidR="00000000" w:rsidDel="00000000" w:rsidP="00000000" w:rsidRDefault="00000000" w:rsidRPr="00000000" w14:paraId="00000101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087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zamówienia dodatkowe są niezbędne dla prawidłowego wykonania podstawowego zadania, </w:t>
      </w:r>
    </w:p>
    <w:p w:rsidR="00000000" w:rsidDel="00000000" w:rsidP="00000000" w:rsidRDefault="00000000" w:rsidRPr="00000000" w14:paraId="00000102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087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wykonanie zamówień dodatkowych stało się konieczne na skutek sytuacji niemożliwej do przewidzenia przed zawarciem Umowy przez strony,</w:t>
      </w:r>
    </w:p>
    <w:p w:rsidR="00000000" w:rsidDel="00000000" w:rsidP="00000000" w:rsidRDefault="00000000" w:rsidRPr="00000000" w14:paraId="00000103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087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realizacja zamówień dodatkowych przed ich wykonaniem, zostanie w formie pisemnej zaakceptowana przez obie strony,</w:t>
      </w:r>
    </w:p>
    <w:p w:rsidR="00000000" w:rsidDel="00000000" w:rsidP="00000000" w:rsidRDefault="00000000" w:rsidRPr="00000000" w14:paraId="00000104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087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zmiana wykonawcy nie może zostać dokonana z powodów ekonomicznych lub technicznych, w szczególności dotyczących zamienności lub interoperacyjności sprzętu, usług lub instalacji, zamówionych w ramach zamówienia podstawowego,</w:t>
      </w:r>
    </w:p>
    <w:p w:rsidR="00000000" w:rsidDel="00000000" w:rsidP="00000000" w:rsidRDefault="00000000" w:rsidRPr="00000000" w14:paraId="00000105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087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zmiana wykonawcy spowodowałaby istotną niedogodność lub znaczne zwiększenie kosztów dla Zamawiającego,</w:t>
      </w:r>
    </w:p>
    <w:p w:rsidR="00000000" w:rsidDel="00000000" w:rsidP="00000000" w:rsidRDefault="00000000" w:rsidRPr="00000000" w14:paraId="00000106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087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wartość każdej kolejnej zmiany nie przekracza 50% wartości zamówienia określonej pierwotnie w umowie.</w:t>
      </w:r>
    </w:p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Opisane wyżej zmiany treści umowy nie mogą prowadzić do zmiany charakteru umowy. Zmiany te mogą skutkować zwiększeniem wynagrodzenia. Dopuszczalne są zamówienia dodatkowe - uzupełniające.</w:t>
      </w:r>
    </w:p>
    <w:p w:rsidR="00000000" w:rsidDel="00000000" w:rsidP="00000000" w:rsidRDefault="00000000" w:rsidRPr="00000000" w14:paraId="00000108">
      <w:pPr>
        <w:shd w:fill="ffffff" w:val="clear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hd w:fill="ffffff" w:val="clear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Warunki zmian:</w:t>
      </w:r>
    </w:p>
    <w:p w:rsidR="00000000" w:rsidDel="00000000" w:rsidP="00000000" w:rsidRDefault="00000000" w:rsidRPr="00000000" w14:paraId="0000010A">
      <w:pPr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76" w:lineRule="auto"/>
        <w:ind w:left="72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Inicjowanie zmian – na wniosek Zamawiającego i/lub Oferenta.</w:t>
      </w:r>
    </w:p>
    <w:p w:rsidR="00000000" w:rsidDel="00000000" w:rsidP="00000000" w:rsidRDefault="00000000" w:rsidRPr="00000000" w14:paraId="0000010B">
      <w:pPr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76" w:lineRule="auto"/>
        <w:ind w:left="72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Uzasadnienie zmian – prawidłowa realizacja przedmiotu umowy, obniżenie kosztów, zapewnienie optymalnych parametrów technicznych i jakościowych.</w:t>
      </w:r>
    </w:p>
    <w:p w:rsidR="00000000" w:rsidDel="00000000" w:rsidP="00000000" w:rsidRDefault="00000000" w:rsidRPr="00000000" w14:paraId="0000010C">
      <w:pPr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76" w:lineRule="auto"/>
        <w:ind w:left="72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Forma zmian – aneks do umowy z Oferentem w formie pisemnej pod rygorem nieważności.</w:t>
      </w:r>
    </w:p>
    <w:p w:rsidR="00000000" w:rsidDel="00000000" w:rsidP="00000000" w:rsidRDefault="00000000" w:rsidRPr="00000000" w14:paraId="0000010D">
      <w:pPr>
        <w:keepNext w:val="1"/>
        <w:keepLines w:val="1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tabs>
          <w:tab w:val="left" w:leader="none" w:pos="565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OCENA OFERT</w:t>
      </w:r>
    </w:p>
    <w:p w:rsidR="00000000" w:rsidDel="00000000" w:rsidP="00000000" w:rsidRDefault="00000000" w:rsidRPr="00000000" w14:paraId="00000111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567" w:right="283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Ocena odnosząca się do przedmiotu zamówienia zostanie dokonana w systemie punktowym z wagami w oparciu o następujące kryteria punktowane:</w:t>
      </w:r>
    </w:p>
    <w:p w:rsidR="00000000" w:rsidDel="00000000" w:rsidP="00000000" w:rsidRDefault="00000000" w:rsidRPr="00000000" w14:paraId="00000112">
      <w:pPr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567" w:right="283" w:hanging="36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Kryterium cena netto przedmiotu zamówienia (CN) – waga 95% </w:t>
      </w:r>
    </w:p>
    <w:p w:rsidR="00000000" w:rsidDel="00000000" w:rsidP="00000000" w:rsidRDefault="00000000" w:rsidRPr="00000000" w14:paraId="00000113">
      <w:pPr>
        <w:spacing w:line="276" w:lineRule="auto"/>
        <w:ind w:left="567" w:right="28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Oferent określa cenę ryczałtową netto przedmiotu zamówienia w złotych polskich, która obejmować będzie wykonanie całości przedmiotu zamówienia (danej części) opisanego w Zapytaniu Ofertowym oraz jego załącznikach. Przedstawiona w ofercie cena będzie ceną kompletną, jednoznaczną i ostateczną, uwzględniającą ewentualne rabaty i upusty (nie dopuszcza się rabatów rzeczowych) oraz wszelkie koszty związane z właściwym przygotowaniem i wykonaniem przedmiotu zamówienia. </w:t>
        <w:br w:type="textWrapping"/>
        <w:t xml:space="preserve">Cena ryczałtowa netto powinna być wyrażona w złotych polskich (PLN) z dokładnością do dwóch miejsc po przecinku. Jeśli Oferent określi cenę w walucie innej niż PLN, Zamawiający przeliczy ją na PLN po średnim kursie NBP (tabela A) z dnia ogłoszenia zapytania ofertowego.</w:t>
      </w:r>
    </w:p>
    <w:p w:rsidR="00000000" w:rsidDel="00000000" w:rsidP="00000000" w:rsidRDefault="00000000" w:rsidRPr="00000000" w14:paraId="00000114">
      <w:pPr>
        <w:spacing w:after="200" w:line="276" w:lineRule="auto"/>
        <w:ind w:left="567" w:right="28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Liczba punktów w kryterium „cena netto przedmiotu zamówienia” będzie przyznawana według poniższego wzoru:</w:t>
      </w:r>
    </w:p>
    <w:p w:rsidR="00000000" w:rsidDel="00000000" w:rsidP="00000000" w:rsidRDefault="00000000" w:rsidRPr="00000000" w14:paraId="00000115">
      <w:pPr>
        <w:spacing w:line="276" w:lineRule="auto"/>
        <w:ind w:left="567" w:right="283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(cena netto najtańszej spośród złożonych ofert / cena netto rozpatrywanej oferty) x 100 x 95% = liczba punktów oferty rozpatrywanej (CN)</w:t>
      </w:r>
    </w:p>
    <w:p w:rsidR="00000000" w:rsidDel="00000000" w:rsidP="00000000" w:rsidRDefault="00000000" w:rsidRPr="00000000" w14:paraId="00000116">
      <w:pPr>
        <w:spacing w:line="276" w:lineRule="auto"/>
        <w:ind w:left="567" w:right="283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numPr>
          <w:ilvl w:val="0"/>
          <w:numId w:val="23"/>
        </w:numPr>
        <w:spacing w:after="200" w:line="276" w:lineRule="auto"/>
        <w:ind w:left="720" w:right="283" w:hanging="360"/>
        <w:jc w:val="left"/>
        <w:rPr>
          <w:rFonts w:ascii="Arial" w:cs="Arial" w:eastAsia="Arial" w:hAnsi="Arial"/>
          <w:b w:val="1"/>
          <w:bCs w:val="1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Kryterium środowiskowe (KŚ) realizacja zamówienia zgodnie z ISO 14001 – waga 5%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after="0" w:line="276" w:lineRule="auto"/>
        <w:ind w:left="567" w:right="28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Premiowany będzie korzystny wpływ na środowisko poprzez realizację zamówienia zgodnie z ISO 14001.</w:t>
      </w:r>
    </w:p>
    <w:p w:rsidR="00000000" w:rsidDel="00000000" w:rsidP="00000000" w:rsidRDefault="00000000" w:rsidRPr="00000000" w14:paraId="00000119">
      <w:pPr>
        <w:spacing w:after="0" w:line="276" w:lineRule="auto"/>
        <w:ind w:left="567" w:right="28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Liczba punktów w kryterium „realizacja zamówienia zgodnie z ISO 14001” będzie przyznawana według poniższego wzoru:</w:t>
      </w:r>
    </w:p>
    <w:p w:rsidR="00000000" w:rsidDel="00000000" w:rsidP="00000000" w:rsidRDefault="00000000" w:rsidRPr="00000000" w14:paraId="0000011A">
      <w:pPr>
        <w:spacing w:after="0" w:line="276" w:lineRule="auto"/>
        <w:ind w:left="567" w:right="28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Realizacja zlecenia zgodnie z normą ISO 14001– 5 pkt</w:t>
      </w:r>
    </w:p>
    <w:p w:rsidR="00000000" w:rsidDel="00000000" w:rsidP="00000000" w:rsidRDefault="00000000" w:rsidRPr="00000000" w14:paraId="0000011B">
      <w:pPr>
        <w:spacing w:after="0" w:line="276" w:lineRule="auto"/>
        <w:ind w:left="567" w:right="28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Realizacja zlecenia bez zastosowania normy ISO 14001 – 0 pkt.</w:t>
        <w:br w:type="textWrapping"/>
      </w:r>
    </w:p>
    <w:p w:rsidR="00000000" w:rsidDel="00000000" w:rsidP="00000000" w:rsidRDefault="00000000" w:rsidRPr="00000000" w14:paraId="0000011C">
      <w:pPr>
        <w:spacing w:after="0" w:line="276" w:lineRule="auto"/>
        <w:ind w:left="567" w:right="28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Punkty zostaną przyznane, tylko gdy Oferent przedstawi aktualny certyfikat normy ISO 14001.</w:t>
      </w:r>
    </w:p>
    <w:p w:rsidR="00000000" w:rsidDel="00000000" w:rsidP="00000000" w:rsidRDefault="00000000" w:rsidRPr="00000000" w14:paraId="0000011D">
      <w:pPr>
        <w:spacing w:after="0" w:line="276" w:lineRule="auto"/>
        <w:ind w:left="567" w:right="28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 przypadku, gdy oferent nie przedstawi wymaganych dokumentów, jego oferta otrzyma 0 punktów w tym kryterium, jednak nie zostanie z tego powodu odrzucona.</w:t>
      </w:r>
    </w:p>
    <w:p w:rsidR="00000000" w:rsidDel="00000000" w:rsidP="00000000" w:rsidRDefault="00000000" w:rsidRPr="00000000" w14:paraId="0000011E">
      <w:pPr>
        <w:spacing w:after="0" w:line="276" w:lineRule="auto"/>
        <w:ind w:left="567" w:right="28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567" w:right="283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Maksymalna możliwa do uzyskania liczba punktów wynosi 100. Wartość uzyskanych punktów ofert określona zostanie wg wzoru:</w:t>
      </w:r>
    </w:p>
    <w:p w:rsidR="00000000" w:rsidDel="00000000" w:rsidP="00000000" w:rsidRDefault="00000000" w:rsidRPr="00000000" w14:paraId="000001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360" w:firstLine="0"/>
        <w:jc w:val="center"/>
        <w:rPr>
          <w:rFonts w:ascii="Arial" w:cs="Arial" w:eastAsia="Arial" w:hAnsi="Arial"/>
          <w:strike w:val="1"/>
          <w:sz w:val="22"/>
          <w:szCs w:val="22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Wartość punktowa oferty = (CN) + (KŚ)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567" w:right="283" w:hanging="360"/>
        <w:jc w:val="both"/>
        <w:rPr>
          <w:rFonts w:ascii="Arial" w:cs="Arial" w:eastAsia="Arial" w:hAnsi="Arial"/>
          <w:sz w:val="22"/>
          <w:szCs w:val="22"/>
          <w:highlight w:val="whit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Oferent,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:rsidR="00000000" w:rsidDel="00000000" w:rsidP="00000000" w:rsidRDefault="00000000" w:rsidRPr="00000000" w14:paraId="00000122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567" w:right="283" w:hanging="360"/>
        <w:jc w:val="both"/>
        <w:rPr>
          <w:rFonts w:ascii="Arial" w:cs="Arial" w:eastAsia="Arial" w:hAnsi="Arial"/>
          <w:sz w:val="22"/>
          <w:szCs w:val="22"/>
          <w:highlight w:val="whit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ofercie należy odnieść się do wszystkich kryteriów wyboru oferty. W przypadku, gdy Oferent pominie jedno lub więcej kryteriów w ocenie zostanie przyznanych mu 0 pkt. w danym kryterium.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567" w:right="283" w:hanging="360"/>
        <w:jc w:val="both"/>
        <w:rPr>
          <w:rFonts w:ascii="Arial" w:cs="Arial" w:eastAsia="Arial" w:hAnsi="Arial"/>
          <w:sz w:val="22"/>
          <w:szCs w:val="22"/>
          <w:highlight w:val="whit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Punktacja będzie zaokrąglana w górę, do dwóch miejsc po przecinku.</w:t>
      </w:r>
    </w:p>
    <w:p w:rsidR="00000000" w:rsidDel="00000000" w:rsidP="00000000" w:rsidRDefault="00000000" w:rsidRPr="00000000" w14:paraId="00000124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567" w:right="283" w:hanging="360"/>
        <w:jc w:val="both"/>
        <w:rPr>
          <w:rFonts w:ascii="Arial" w:cs="Arial" w:eastAsia="Arial" w:hAnsi="Arial"/>
          <w:sz w:val="22"/>
          <w:szCs w:val="22"/>
          <w:highlight w:val="whit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Za najkorzystniejszą ofertę zostanie uznana oferta, która jest poprawna formalnie, spełniła wszystkie warunki udziału w postępowaniu, nie podlega wykluczeniu oraz w toku oceny uzyska największą liczbę punktów.</w:t>
      </w:r>
    </w:p>
    <w:p w:rsidR="00000000" w:rsidDel="00000000" w:rsidP="00000000" w:rsidRDefault="00000000" w:rsidRPr="00000000" w14:paraId="00000125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567" w:right="283" w:hanging="360"/>
        <w:jc w:val="both"/>
        <w:rPr>
          <w:rFonts w:ascii="Arial" w:cs="Arial" w:eastAsia="Arial" w:hAnsi="Arial"/>
          <w:sz w:val="22"/>
          <w:szCs w:val="22"/>
          <w:highlight w:val="whit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W przypadku gdy co najmniej dwie oferty uzyskają taką samą (największą) liczbę punktów, Zamawiający dopuszcza wezwanie Wykonawców, którzy złożyli równie korzystne oferty, do złożenia w terminie określonym przez Zamawiającego ofert dodatkowych. Wykonawcy, składając oferty dodatkowe, nie mogą zaoferować cen wyższych niż zaoferowane w złożonych ofertach i zmieniać pozostałych warunków oferty. Zamawiający dokonuje następnie wyboru tej oferty, która przedstawia cenę niższą.</w:t>
      </w:r>
    </w:p>
    <w:p w:rsidR="00000000" w:rsidDel="00000000" w:rsidP="00000000" w:rsidRDefault="00000000" w:rsidRPr="00000000" w14:paraId="00000126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right="283" w:hanging="360"/>
        <w:jc w:val="both"/>
        <w:rPr>
          <w:rFonts w:ascii="Arial" w:cs="Arial" w:eastAsia="Arial" w:hAnsi="Arial"/>
          <w:sz w:val="22"/>
          <w:szCs w:val="22"/>
          <w:highlight w:val="whit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Zamawiający, po dokonaniu oceny otrzymanych ofert, dokona wyboru najkorzystniejszej oferty, co zostanie udokumentowane protokołem postępowania o udzielenie zamówienia.</w:t>
      </w:r>
    </w:p>
    <w:p w:rsidR="00000000" w:rsidDel="00000000" w:rsidP="00000000" w:rsidRDefault="00000000" w:rsidRPr="00000000" w14:paraId="000001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283"/>
        <w:jc w:val="both"/>
        <w:rPr>
          <w:rFonts w:ascii="Arial" w:cs="Arial" w:eastAsia="Arial" w:hAnsi="Arial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283" w:hanging="36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SPOSÓB PRZYGOTOWANIA I PRZEBIEG OCENY OFERT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składana przez Oferenta powinna być sporządzona na formularzu stanowiącym Załącznik nr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do Zapytania ofertowego „Formularz oferty”.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Integralną częścią oferty są załączniki wymienione w punkcie „Lista dokumentów/oświadczeń” wymaganych od Wykonawcy, które Oferent winien załączyć do oferty.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Treść złożonej oferty musi odpowiadać treści Zapytania ofertowego. Zamawiający zaleca wykorzystanie wzorów formularzy opracowanych przez Zamawiającego i dołączonych do niniejszego zapytania ofertowego. Dopuszcza się złożenie w ofercie załączników własnych Oferenta pod warunkiem, że będą one zgodne co do treści z formularzami opracowanymi przez Zamawiającego.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oraz załączniki muszą być sporządzone na piśmie w formie zapewniającej pełną czytelność jej treści. 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Oferta, oświadczenie o braku powiązań osobowych / kapitałowych z Zamawiającym oraz oświadczenie dotyczące spełnienia warunków udziału w postępowaniu winny być złożone w formie oryginału. Pozostałe dokumenty składające się na ofertę mogą być złożone w oryginale lub kopii potwierdzonej za zgodność z oryginałem przez Oferenta. 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może żądać przedstawienia oryginału lub notarialnie poświadczonej kopii dokumentu, gdy złożona przez Oferenta kopia dokumentu jest nieczytelna lub budzi wątpliwości co do jej prawdziwości.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zmiany w treści oferty, a w szczególności przerobienie, przekreślenie, uzupełnienie, nadpisanie, przesłonięcie korektorem, itp. winne być podpisane lub parafowane przez Oferenta.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i załączniki do oferty muszą być podpisane przez upoważnionego(-ych) przedstawiciela(i) Oferenta zgodnie z formą reprezentacji Oferenta określoną w dokumencie rejestrowym (ewidencyjnym) Oferenta. 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sytuacji, kiedy ofertę i/lub załączniki do oferty w imieniu Oferenta podpisuje pełnomocnik (osoba nie umocowana do tych czynności w dokumentach rejestracyjnych Oferenta) należy do oferty dołączyć stosowne pełnomocnictwo.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cenie oferty Oferent winien uwzględnić wszystkie zobowiązania i koszty niezbędne do poniesienia dla realizacji zadania.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nie dopuszcza możliwości składania ofert wariantowych.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toku badania i oceny ofert Zamawiający może żądać od Oferentów wyjaśnień dotyczących treści złożonych ofert, w tym przedstawienia szczegółów kalkulacji ceny oferty.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Oferent może złożyć tylko jedną ofertę. 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Oferent może zmienić lub wycofać złożoną przez siebie ofertę.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Zmiana lub wycofanie złożonej oferty jest skuteczne tylko wówczas, gdy została dokonana przez Oferenta przed upływem terminu składania ofert.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zmiany oferty, Oferent składa pisemne oświadczenie, iż ofertę swą zmienia, określając zakres i rodzaj tych zmian, a jeśli oświadczenie o zmianie pociąga za sobą konieczność wymiany, czy też przedłożenia nowych dokumentów, Oferent winien te dokumenty złożyć równocześnie ze zmianą oferty.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wycofania oferty, Wykonawca składa pisemne oświadczenie, iż ofertę swą wycofuje.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Oferent ponosi wszelkie koszty związane z przygotowaniem i złożeniem oferty.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nie przewiduje zwrotu kosztów udziału w postępowaniu.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Składający ofertę pozostaje nią związany do czasu zawarcia umowy jednak nie dłużej niż 30 dni.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Bieg terminu związania ofertą rozpoczyna się wraz z upływem terminu składania ofert.</w:t>
      </w:r>
    </w:p>
    <w:p w:rsidR="00000000" w:rsidDel="00000000" w:rsidP="00000000" w:rsidRDefault="00000000" w:rsidRPr="00000000" w14:paraId="0000013E">
      <w:pPr>
        <w:spacing w:after="200" w:line="276" w:lineRule="auto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Zamawiający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dokona wyboru oferty spośród ofert złożonych przez Oferentów w oparciu o ocenę formalną, ocenę warunków udziału w postępowaniu, a także ocenę kryteriów wyboru oferty.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OCENA FORMALNA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Ocena formalna będzie dokonywana w systemie 0/1 wg następujących kryteriów: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wraz z załącznikami została przygotowana zgodnie z wytycznymi określonymi w punktach „Miejsce i sposób składania ofert”, „Lista dokumentów/oświadczeń wymaganych od Wykonawcy” a także punktem „Sposób przygotowania oferty” niniejszego załącznika – 0/1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jest zgodna z przedmiotem zamówienia – 0/1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dokona oceny formalnej przez zastosowanie systemu spełnia/nie spełnia. Niespełnienie któregokolwiek z kryteriów będzie skutkowało odrzuceniem Oferty.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Podczas oceny formalnej Zamawiający dopuszcza możliwość wezwania Wykonawców, którzy we wskazanym w Zapytaniu Ofertowym terminie złożyli jedną ofertę, ale zawiera ona uchybienia/braki, wyznaczając w tym celu odpowiedni termin oraz zakres uzupełnień. Niedotrzymanie tego terminu oraz dokonanie uzupełnień wykraczających poza wskazane w wezwaniu może skutkować odrzuceniem ofert z przyczyn formalnych. Uzupełnieniom podlegają jedynie braki o charakterze formalnym. Nie dopuszcza się możliwości zmiany warunków złożonych ofert.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dalszego etapu dopuszczone będą jedynie oferty spełniające ocenę formalną.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OCENA SPEŁNIENIA WARUNKÓW UDZIAŁU W POSTĘPOWANIU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Ocena spełnienia warunków udziału w postępowaniu będzie dokonywana w systemie 0/1 wg następujących kryteriów: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Wykonawca nie podlega wykluczeniu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opisanym w punkcie IV “Kryteria dostępowe”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– 0/1.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Wykonawca spełnia inne warunki określone w punkcie IV “Kryteria dostępowe” - 0/1.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dokona oceny spełnienia warunków udziału w postępowaniu przez zastosowanie systemu spełnia/nie spełnia. Niespełnienie któregokolwiek z kryteriów będzie skutkowało odrzuceniem Oferty.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dalszego etapu dopuszczone będą jedynie oferty spełniające kryteria udziału w postępowaniu.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OCENA KRYTERIÓW WYBORU OFERTY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Ocena odnosząca się do przedmiotu zamówienia będzie dokonywana w systemie punktowym z wagami wg. kryteriów, wag i sposobu przyznawania punktów określonych w punkcie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VI “Ocena ofert”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niniejszego zapytania ofertowego.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może odrzucić ofertę, której wartość uzna za rażąco niską.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ROZSTRZYGNIĘCIE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POSTĘPOWANIA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poinformuje Oferentów o dokonaniu wyboru oferty zapraszając Oferenta, którego oferta zostanie wybrana jako najkorzystniejsza do podpisania umowy.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 wybranym Oferentem zostanie zawarta umowa w terminie i miejscu wskazanym przez Zamawiającego.</w:t>
      </w:r>
    </w:p>
    <w:p w:rsidR="00000000" w:rsidDel="00000000" w:rsidP="00000000" w:rsidRDefault="00000000" w:rsidRPr="00000000" w14:paraId="00000152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Zamawiający jest uprawniony do wyboru kolejnej najkorzystniejszej oferty w przypadku, gdyby Oferent, którego oferta została uznana za najkorzystniejszą odmówił podpisania umowy lub gdyby podpisanie umowy z takim Oferentem stało się niemożliwe z innych przyczyn.</w:t>
      </w:r>
    </w:p>
    <w:p w:rsidR="00000000" w:rsidDel="00000000" w:rsidP="00000000" w:rsidRDefault="00000000" w:rsidRPr="00000000" w14:paraId="00000153">
      <w:pPr>
        <w:spacing w:line="276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POZOSTAŁE INFORMACJE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zastrzega sobie prawo do zmiany treści niniejszego zapytania. Wszelkie modyfikacje, uzupełnienia i ustalenia oraz zmiany, w tym zmiany terminów, jak również pytania Oferentów wraz z wyjaśnieniami będą publikowane na stronie internetowej bazakonkurencyjnosci.funduszeeuropejskie.gov.pl. Stają się one integralną częścią zapytania ofertowego i będą wiążące przy składaniu ofert. Wszelkie prawa i zobowiązania Wykonawcy odnośnie wcześniej ustalonych terminów będą podlegały nowemu terminowi o ile taki zostanie wyznaczony.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Oferty oraz wszelkie inne załączniki składane w trakcie postępowania są jawne z wyjątkiem – odrębnie i jednoznacznie wskazanych przez Oferenta – informacji stanowiących tajemnicę Oferenta.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ramach składania wniosku o płatność oraz innych czynności kontrolnych związanych z realizowanym przez Zamawiającego projektem, oferty oraz wszelkie inne załączniki mogą zostać przekazane w celu weryfikacji do właściwej instytucji publicznej. W tym przypadku tajemnica Oferenta nie obowiązuje.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zastrzega sobie możliwość unieważnienia postępowania na każdym etapie do momentu podpisania umowy na realizację zamówienia w przypadku, gdy z powodu okoliczności, których nie przewidywał lub nie mógł przewidzieć, udzielenia zamówienia nie leży w interesie Zamawiającego lub z innych przyczyn stało się niecelowe.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może unieważnić postępowanie w szczególności, gdy: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złożono żadnej oferty niepodlegającej odrzuceniu;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cena najkorzystniejszej oferty przekracza kwotę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jaką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Zamawiający zamierzał przeznaczyć na realizację zamówienia, chyba że zamawiający zdecyduje zwiększyć tę kwotę do ceny najkorzystniejszej oferty;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postępowanie jest obarczone istotną wadą uniemożliwiającą zawarcie umowy;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wyniku zmiany obiektywnych warunków realizacja zamówienia nie leży w interesie Zamawiającego.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zaistnienia takich okoliczności, Oferentom nie przysługują żadne roszczenia w stosunku do Zamawiającego w przypadku skorzystania przez niego z któregokolwiek z powyższego uprawnienia. W tym zakresie Oferenci zrzekają się wszelkich ewentualnych przysługujących im roszczeń.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Oferent może zwrócić się do Zamawiającego o wyjaśnienie treści Zapytania Ofertowego. Zamawiający udzieli wyjaśnień pod warunkiem, że wniosek o wyjaśnienie treści Zapytania Ofertowego wpłynie do Zamawiającego nie później niż do końca dnia, w którym upływa połowa wyznaczonego terminu składania ofert. Jeżeli wniosek Wykonawcy o wyjaśnienie treści zapytania ofertowego wpłynie do Zamawiającego po upływie terminu wskazanego powyżej lub dotyczy już udzielonych wyjaśnień, Zamawiający może udzielić wyjaśnień albo pozostawić wniosek bez rozpoznania.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Oczekujemy wyczerpujących i konkretnych odpowiedzi na wszystkie podane/pojawiające się w zagadnienia.  Odpowiedzi tych należy udzielić w formie zwięzłych opisów, a tam, gdzie to jest wymagane w formie tabelarycznej. Mile widziane jest załączenie dodatkowych opisów technicznych, które mogą pomóc w lepszym zrozumieniu oferowanych produktów. Jeżeli którekolwiek z wymagań wyszczególnionych w zapytaniu nie jest spełnione w części lub w całości, prosimy o wyraźne zaznaczenie tego faktu.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Pytania Oferentów wraz z odpowiedziami Zamawiającego będą publikowane na stronie internetowej bazakonkurencyjnosci.funduszeeuropejskie.gov.pl.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braku odpowiedzi przez Zamawiającego lub w przypadku odpowiedzi z opóźnieniem na pytania zadane bezpośrednio poprzez Bazę Konkurencyjności Oferentom nie przysługują żadne roszczenia w stosunku do Zamawiającego. W tym zakresie Oferenci zrzekają się wszelkich ewentualnych przysługujących im roszczeń. </w:t>
      </w:r>
    </w:p>
    <w:p w:rsidR="00000000" w:rsidDel="00000000" w:rsidP="00000000" w:rsidRDefault="00000000" w:rsidRPr="00000000" w14:paraId="00000163">
      <w:pPr>
        <w:spacing w:after="20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after="20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after="20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12"/>
      <w:tblW w:w="9060.0" w:type="dxa"/>
      <w:jc w:val="left"/>
      <w:tblLayout w:type="fixed"/>
      <w:tblLook w:val="0600"/>
    </w:tblPr>
    <w:tblGrid>
      <w:gridCol w:w="3020"/>
      <w:gridCol w:w="3020"/>
      <w:gridCol w:w="3020"/>
      <w:tblGridChange w:id="0">
        <w:tblGrid>
          <w:gridCol w:w="3020"/>
          <w:gridCol w:w="3020"/>
          <w:gridCol w:w="3020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16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-115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16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16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-115" w:firstLine="0"/>
            <w:jc w:val="righ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6">
    <w:pPr>
      <w:tabs>
        <w:tab w:val="left" w:leader="none" w:pos="1980"/>
      </w:tabs>
      <w:spacing w:line="288" w:lineRule="auto"/>
      <w:jc w:val="center"/>
      <w:rPr/>
    </w:pPr>
    <w:r w:rsidDel="00000000" w:rsidR="00000000" w:rsidRPr="00000000">
      <w:rPr/>
      <w:drawing>
        <wp:inline distB="0" distT="0" distL="0" distR="0">
          <wp:extent cx="5760720" cy="774700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67">
    <w:pPr>
      <w:tabs>
        <w:tab w:val="left" w:leader="none" w:pos="1980"/>
      </w:tabs>
      <w:spacing w:line="288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3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108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7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♦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⮚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3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5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8">
    <w:lvl w:ilvl="0">
      <w:start w:val="1"/>
      <w:numFmt w:val="lowerLetter"/>
      <w:lvlText w:val="%1)"/>
      <w:lvlJc w:val="left"/>
      <w:pPr>
        <w:ind w:left="927" w:hanging="360"/>
      </w:pPr>
      <w:rPr/>
    </w:lvl>
    <w:lvl w:ilvl="1">
      <w:start w:val="1"/>
      <w:numFmt w:val="lowerLetter"/>
      <w:lvlText w:val="%2."/>
      <w:lvlJc w:val="left"/>
      <w:pPr>
        <w:ind w:left="1647" w:hanging="360"/>
      </w:pPr>
      <w:rPr/>
    </w:lvl>
    <w:lvl w:ilvl="2">
      <w:start w:val="1"/>
      <w:numFmt w:val="lowerRoman"/>
      <w:lvlText w:val="%3."/>
      <w:lvlJc w:val="right"/>
      <w:pPr>
        <w:ind w:left="2367" w:hanging="180"/>
      </w:pPr>
      <w:rPr/>
    </w:lvl>
    <w:lvl w:ilvl="3">
      <w:start w:val="1"/>
      <w:numFmt w:val="decimal"/>
      <w:lvlText w:val="%4."/>
      <w:lvlJc w:val="left"/>
      <w:pPr>
        <w:ind w:left="3087" w:hanging="360"/>
      </w:pPr>
      <w:rPr/>
    </w:lvl>
    <w:lvl w:ilvl="4">
      <w:start w:val="1"/>
      <w:numFmt w:val="lowerLetter"/>
      <w:lvlText w:val="%5."/>
      <w:lvlJc w:val="left"/>
      <w:pPr>
        <w:ind w:left="3807" w:hanging="360"/>
      </w:pPr>
      <w:rPr/>
    </w:lvl>
    <w:lvl w:ilvl="5">
      <w:start w:val="1"/>
      <w:numFmt w:val="lowerRoman"/>
      <w:lvlText w:val="%6."/>
      <w:lvlJc w:val="right"/>
      <w:pPr>
        <w:ind w:left="4527" w:hanging="180"/>
      </w:pPr>
      <w:rPr/>
    </w:lvl>
    <w:lvl w:ilvl="6">
      <w:start w:val="1"/>
      <w:numFmt w:val="decimal"/>
      <w:lvlText w:val="%7."/>
      <w:lvlJc w:val="left"/>
      <w:pPr>
        <w:ind w:left="5247" w:hanging="360"/>
      </w:pPr>
      <w:rPr/>
    </w:lvl>
    <w:lvl w:ilvl="7">
      <w:start w:val="1"/>
      <w:numFmt w:val="lowerLetter"/>
      <w:lvlText w:val="%8."/>
      <w:lvlJc w:val="left"/>
      <w:pPr>
        <w:ind w:left="5967" w:hanging="360"/>
      </w:pPr>
      <w:rPr/>
    </w:lvl>
    <w:lvl w:ilvl="8">
      <w:start w:val="1"/>
      <w:numFmt w:val="lowerRoman"/>
      <w:lvlText w:val="%9."/>
      <w:lvlJc w:val="right"/>
      <w:pPr>
        <w:ind w:left="6687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3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rFonts w:ascii="Calibri" w:cs="Calibri" w:eastAsia="Calibri" w:hAnsi="Calibri"/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basedOn w:val="Normalny"/>
    <w:link w:val="NagwekZnak"/>
    <w:uiPriority w:val="99"/>
    <w:unhideWhenUsed w:val="1"/>
    <w:rsid w:val="000117B6"/>
    <w:pPr>
      <w:tabs>
        <w:tab w:val="center" w:pos="4536"/>
        <w:tab w:val="right" w:pos="9072"/>
      </w:tabs>
    </w:pPr>
    <w:rPr>
      <w:rFonts w:eastAsiaTheme="minorHAnsi"/>
    </w:rPr>
  </w:style>
  <w:style w:type="character" w:styleId="NagwekZnak" w:customStyle="1">
    <w:name w:val="Nagłówek Znak"/>
    <w:basedOn w:val="Domylnaczcionkaakapitu"/>
    <w:link w:val="Nagwek"/>
    <w:uiPriority w:val="99"/>
    <w:rsid w:val="000117B6"/>
  </w:style>
  <w:style w:type="paragraph" w:styleId="Stopka">
    <w:name w:val="footer"/>
    <w:basedOn w:val="Normalny"/>
    <w:link w:val="StopkaZnak"/>
    <w:uiPriority w:val="99"/>
    <w:unhideWhenUsed w:val="1"/>
    <w:rsid w:val="000117B6"/>
    <w:pPr>
      <w:tabs>
        <w:tab w:val="center" w:pos="4536"/>
        <w:tab w:val="right" w:pos="9072"/>
      </w:tabs>
    </w:pPr>
    <w:rPr>
      <w:rFonts w:eastAsiaTheme="minorHAnsi"/>
    </w:rPr>
  </w:style>
  <w:style w:type="character" w:styleId="StopkaZnak" w:customStyle="1">
    <w:name w:val="Stopka Znak"/>
    <w:basedOn w:val="Domylnaczcionkaakapitu"/>
    <w:link w:val="Stopka"/>
    <w:uiPriority w:val="99"/>
    <w:rsid w:val="000117B6"/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0117B6"/>
    <w:rPr>
      <w:rFonts w:ascii="Tahoma" w:cs="Tahoma" w:hAnsi="Tahoma" w:eastAsiaTheme="minorHAnsi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0117B6"/>
    <w:rPr>
      <w:rFonts w:ascii="Tahoma" w:cs="Tahoma" w:hAnsi="Tahoma"/>
      <w:sz w:val="16"/>
      <w:szCs w:val="16"/>
    </w:rPr>
  </w:style>
  <w:style w:type="character" w:styleId="Nagwek2Znak" w:customStyle="1">
    <w:name w:val="Nagłówek 2 Znak"/>
    <w:basedOn w:val="Domylnaczcionkaakapitu"/>
    <w:link w:val="Nagwek2"/>
    <w:rsid w:val="008F73CC"/>
    <w:rPr>
      <w:rFonts w:ascii="Calibri" w:cs="Calibri" w:eastAsia="Calibri" w:hAnsi="Calibri"/>
      <w:b w:val="1"/>
      <w:color w:val="000000"/>
      <w:sz w:val="36"/>
      <w:szCs w:val="20"/>
      <w:lang w:eastAsia="pl-PL"/>
    </w:rPr>
  </w:style>
  <w:style w:type="character" w:styleId="Nagwek3Znak" w:customStyle="1">
    <w:name w:val="Nagłówek 3 Znak"/>
    <w:basedOn w:val="Domylnaczcionkaakapitu"/>
    <w:link w:val="Nagwek3"/>
    <w:rsid w:val="008F73CC"/>
    <w:rPr>
      <w:rFonts w:ascii="Calibri" w:cs="Calibri" w:eastAsia="Calibri" w:hAnsi="Calibri"/>
      <w:b w:val="1"/>
      <w:color w:val="000000"/>
      <w:sz w:val="28"/>
      <w:szCs w:val="20"/>
      <w:lang w:eastAsia="pl-PL"/>
    </w:rPr>
  </w:style>
  <w:style w:type="table" w:styleId="1" w:customStyle="1">
    <w:name w:val="1"/>
    <w:basedOn w:val="Standardowy"/>
    <w:rsid w:val="008F73CC"/>
    <w:rPr>
      <w:rFonts w:ascii="Calibri" w:cs="Calibri" w:eastAsia="Calibri" w:hAnsi="Calibri"/>
      <w:color w:val="000000"/>
      <w:szCs w:val="20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character" w:styleId="Hipercze">
    <w:name w:val="Hyperlink"/>
    <w:basedOn w:val="Domylnaczcionkaakapitu"/>
    <w:rsid w:val="00006A3D"/>
    <w:rPr>
      <w:color w:val="0066cc"/>
      <w:u w:val="single"/>
    </w:rPr>
  </w:style>
  <w:style w:type="character" w:styleId="Teksttreci4Exact" w:customStyle="1">
    <w:name w:val="Tekst treści (4) Exact"/>
    <w:basedOn w:val="Domylnaczcionkaakapitu"/>
    <w:link w:val="Teksttreci4"/>
    <w:rsid w:val="00006A3D"/>
    <w:rPr>
      <w:rFonts w:ascii="Segoe UI" w:cs="Segoe UI" w:eastAsia="Segoe UI" w:hAnsi="Segoe UI"/>
      <w:b w:val="1"/>
      <w:bCs w:val="1"/>
      <w:sz w:val="19"/>
      <w:szCs w:val="19"/>
      <w:shd w:color="auto" w:fill="ffffff" w:val="clear"/>
    </w:rPr>
  </w:style>
  <w:style w:type="character" w:styleId="Teksttreci5Exact" w:customStyle="1">
    <w:name w:val="Tekst treści (5) Exact"/>
    <w:basedOn w:val="Domylnaczcionkaakapitu"/>
    <w:link w:val="Teksttreci5"/>
    <w:rsid w:val="00006A3D"/>
    <w:rPr>
      <w:rFonts w:ascii="Segoe UI" w:cs="Segoe UI" w:eastAsia="Segoe UI" w:hAnsi="Segoe UI"/>
      <w:sz w:val="19"/>
      <w:szCs w:val="19"/>
      <w:shd w:color="auto" w:fill="ffffff" w:val="clear"/>
    </w:rPr>
  </w:style>
  <w:style w:type="character" w:styleId="Nagwek10" w:customStyle="1">
    <w:name w:val="Nagłówek #1_"/>
    <w:basedOn w:val="Domylnaczcionkaakapitu"/>
    <w:rsid w:val="00006A3D"/>
    <w:rPr>
      <w:rFonts w:ascii="Segoe UI" w:cs="Segoe UI" w:eastAsia="Segoe UI" w:hAnsi="Segoe UI"/>
      <w:b w:val="1"/>
      <w:bCs w:val="1"/>
      <w:i w:val="0"/>
      <w:iCs w:val="0"/>
      <w:smallCaps w:val="0"/>
      <w:strike w:val="0"/>
      <w:sz w:val="48"/>
      <w:szCs w:val="48"/>
      <w:u w:val="none"/>
    </w:rPr>
  </w:style>
  <w:style w:type="character" w:styleId="Nagwek11" w:customStyle="1">
    <w:name w:val="Nagłówek #1"/>
    <w:basedOn w:val="Nagwek10"/>
    <w:rsid w:val="00006A3D"/>
    <w:rPr>
      <w:rFonts w:ascii="Segoe UI" w:cs="Segoe UI" w:eastAsia="Segoe UI" w:hAnsi="Segoe UI"/>
      <w:b w:val="1"/>
      <w:bCs w:val="1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bidi="pl-PL" w:eastAsia="pl-PL" w:val="pl-PL"/>
    </w:rPr>
  </w:style>
  <w:style w:type="character" w:styleId="Teksttreci3" w:customStyle="1">
    <w:name w:val="Tekst treści (3)_"/>
    <w:basedOn w:val="Domylnaczcionkaakapitu"/>
    <w:link w:val="Teksttreci30"/>
    <w:rsid w:val="00006A3D"/>
    <w:rPr>
      <w:rFonts w:ascii="Segoe UI" w:cs="Segoe UI" w:eastAsia="Segoe UI" w:hAnsi="Segoe UI"/>
      <w:b w:val="1"/>
      <w:bCs w:val="1"/>
      <w:sz w:val="32"/>
      <w:szCs w:val="32"/>
      <w:shd w:color="auto" w:fill="ffffff" w:val="clear"/>
    </w:rPr>
  </w:style>
  <w:style w:type="character" w:styleId="Nagwek32" w:customStyle="1">
    <w:name w:val="Nagłówek #3 (2)_"/>
    <w:basedOn w:val="Domylnaczcionkaakapitu"/>
    <w:link w:val="Nagwek320"/>
    <w:rsid w:val="00006A3D"/>
    <w:rPr>
      <w:rFonts w:ascii="Segoe UI" w:cs="Segoe UI" w:eastAsia="Segoe UI" w:hAnsi="Segoe UI"/>
      <w:b w:val="1"/>
      <w:bCs w:val="1"/>
      <w:sz w:val="21"/>
      <w:szCs w:val="21"/>
      <w:shd w:color="auto" w:fill="ffffff" w:val="clear"/>
    </w:rPr>
  </w:style>
  <w:style w:type="character" w:styleId="Nagwek20" w:customStyle="1">
    <w:name w:val="Nagłówek #2_"/>
    <w:basedOn w:val="Domylnaczcionkaakapitu"/>
    <w:link w:val="Nagwek21"/>
    <w:rsid w:val="00006A3D"/>
    <w:rPr>
      <w:rFonts w:ascii="Segoe UI" w:cs="Segoe UI" w:eastAsia="Segoe UI" w:hAnsi="Segoe UI"/>
      <w:b w:val="1"/>
      <w:bCs w:val="1"/>
      <w:shd w:color="auto" w:fill="ffffff" w:val="clear"/>
    </w:rPr>
  </w:style>
  <w:style w:type="character" w:styleId="Teksttreci2" w:customStyle="1">
    <w:name w:val="Tekst treści (2)_"/>
    <w:basedOn w:val="Domylnaczcionkaakapitu"/>
    <w:rsid w:val="00006A3D"/>
    <w:rPr>
      <w:rFonts w:ascii="Segoe UI" w:cs="Segoe UI" w:eastAsia="Segoe UI" w:hAnsi="Segoe U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2Pogrubienie" w:customStyle="1">
    <w:name w:val="Tekst treści (2) + Pogrubienie"/>
    <w:basedOn w:val="Teksttreci2"/>
    <w:rsid w:val="00006A3D"/>
    <w:rPr>
      <w:rFonts w:ascii="Segoe UI" w:cs="Segoe UI" w:eastAsia="Segoe UI" w:hAnsi="Segoe UI"/>
      <w:b w:val="1"/>
      <w:bCs w:val="1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pl-PL" w:eastAsia="pl-PL" w:val="pl-PL"/>
    </w:rPr>
  </w:style>
  <w:style w:type="character" w:styleId="Teksttreci28pt" w:customStyle="1">
    <w:name w:val="Tekst treści (2) + 8 pt"/>
    <w:basedOn w:val="Teksttreci2"/>
    <w:rsid w:val="00006A3D"/>
    <w:rPr>
      <w:rFonts w:ascii="Segoe UI" w:cs="Segoe UI" w:eastAsia="Segoe UI" w:hAnsi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bidi="pl-PL" w:eastAsia="pl-PL" w:val="pl-PL"/>
    </w:rPr>
  </w:style>
  <w:style w:type="character" w:styleId="Podpistabeli" w:customStyle="1">
    <w:name w:val="Podpis tabeli_"/>
    <w:basedOn w:val="Domylnaczcionkaakapitu"/>
    <w:link w:val="Podpistabeli0"/>
    <w:rsid w:val="00006A3D"/>
    <w:rPr>
      <w:rFonts w:ascii="Segoe UI" w:cs="Segoe UI" w:eastAsia="Segoe UI" w:hAnsi="Segoe UI"/>
      <w:b w:val="1"/>
      <w:bCs w:val="1"/>
      <w:sz w:val="20"/>
      <w:szCs w:val="20"/>
      <w:shd w:color="auto" w:fill="ffffff" w:val="clear"/>
    </w:rPr>
  </w:style>
  <w:style w:type="character" w:styleId="Teksttreci20" w:customStyle="1">
    <w:name w:val="Tekst treści (2)"/>
    <w:basedOn w:val="Teksttreci2"/>
    <w:rsid w:val="00006A3D"/>
    <w:rPr>
      <w:rFonts w:ascii="Segoe UI" w:cs="Segoe UI" w:eastAsia="Segoe UI" w:hAnsi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pl-PL" w:eastAsia="pl-PL" w:val="pl-PL"/>
    </w:rPr>
  </w:style>
  <w:style w:type="character" w:styleId="Teksttreci6" w:customStyle="1">
    <w:name w:val="Tekst treści (6)_"/>
    <w:basedOn w:val="Domylnaczcionkaakapitu"/>
    <w:rsid w:val="00006A3D"/>
    <w:rPr>
      <w:rFonts w:ascii="Segoe UI" w:cs="Segoe UI" w:eastAsia="Segoe UI" w:hAnsi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styleId="Teksttreci60" w:customStyle="1">
    <w:name w:val="Tekst treści (6)"/>
    <w:basedOn w:val="Teksttreci6"/>
    <w:rsid w:val="00006A3D"/>
    <w:rPr>
      <w:rFonts w:ascii="Segoe UI" w:cs="Segoe UI" w:eastAsia="Segoe UI" w:hAnsi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bidi="pl-PL" w:eastAsia="pl-PL" w:val="pl-PL"/>
    </w:rPr>
  </w:style>
  <w:style w:type="character" w:styleId="Nagwek30" w:customStyle="1">
    <w:name w:val="Nagłówek #3_"/>
    <w:basedOn w:val="Domylnaczcionkaakapitu"/>
    <w:link w:val="Nagwek31"/>
    <w:rsid w:val="00006A3D"/>
    <w:rPr>
      <w:rFonts w:ascii="Segoe UI" w:cs="Segoe UI" w:eastAsia="Segoe UI" w:hAnsi="Segoe UI"/>
      <w:b w:val="1"/>
      <w:bCs w:val="1"/>
      <w:sz w:val="20"/>
      <w:szCs w:val="20"/>
      <w:shd w:color="auto" w:fill="ffffff" w:val="clear"/>
    </w:rPr>
  </w:style>
  <w:style w:type="character" w:styleId="Nagwek3Bezpogrubienia" w:customStyle="1">
    <w:name w:val="Nagłówek #3 + Bez pogrubienia"/>
    <w:basedOn w:val="Nagwek30"/>
    <w:rsid w:val="00006A3D"/>
    <w:rPr>
      <w:rFonts w:ascii="Segoe UI" w:cs="Segoe UI" w:eastAsia="Segoe UI" w:hAnsi="Segoe UI"/>
      <w:b w:val="1"/>
      <w:bCs w:val="1"/>
      <w:color w:val="000000"/>
      <w:spacing w:val="0"/>
      <w:w w:val="100"/>
      <w:position w:val="0"/>
      <w:sz w:val="20"/>
      <w:szCs w:val="20"/>
      <w:shd w:color="auto" w:fill="ffffff" w:val="clear"/>
      <w:lang w:bidi="pl-PL" w:eastAsia="pl-PL" w:val="pl-PL"/>
    </w:rPr>
  </w:style>
  <w:style w:type="paragraph" w:styleId="Teksttreci4" w:customStyle="1">
    <w:name w:val="Tekst treści (4)"/>
    <w:basedOn w:val="Normalny"/>
    <w:link w:val="Teksttreci4Exact"/>
    <w:rsid w:val="00006A3D"/>
    <w:pPr>
      <w:widowControl w:val="0"/>
      <w:shd w:color="auto" w:fill="ffffff" w:val="clear"/>
      <w:spacing w:line="245" w:lineRule="exact"/>
      <w:jc w:val="center"/>
    </w:pPr>
    <w:rPr>
      <w:rFonts w:ascii="Segoe UI" w:cs="Segoe UI" w:eastAsia="Segoe UI" w:hAnsi="Segoe UI"/>
      <w:b w:val="1"/>
      <w:bCs w:val="1"/>
      <w:sz w:val="19"/>
      <w:szCs w:val="19"/>
    </w:rPr>
  </w:style>
  <w:style w:type="paragraph" w:styleId="Teksttreci5" w:customStyle="1">
    <w:name w:val="Tekst treści (5)"/>
    <w:basedOn w:val="Normalny"/>
    <w:link w:val="Teksttreci5Exact"/>
    <w:rsid w:val="00006A3D"/>
    <w:pPr>
      <w:widowControl w:val="0"/>
      <w:shd w:color="auto" w:fill="ffffff" w:val="clear"/>
      <w:spacing w:line="245" w:lineRule="exact"/>
      <w:jc w:val="center"/>
    </w:pPr>
    <w:rPr>
      <w:rFonts w:ascii="Segoe UI" w:cs="Segoe UI" w:eastAsia="Segoe UI" w:hAnsi="Segoe UI"/>
      <w:sz w:val="19"/>
      <w:szCs w:val="19"/>
    </w:rPr>
  </w:style>
  <w:style w:type="paragraph" w:styleId="Teksttreci30" w:customStyle="1">
    <w:name w:val="Tekst treści (3)"/>
    <w:basedOn w:val="Normalny"/>
    <w:link w:val="Teksttreci3"/>
    <w:rsid w:val="00006A3D"/>
    <w:pPr>
      <w:widowControl w:val="0"/>
      <w:shd w:color="auto" w:fill="ffffff" w:val="clear"/>
      <w:spacing w:before="540" w:line="437" w:lineRule="exact"/>
      <w:jc w:val="center"/>
    </w:pPr>
    <w:rPr>
      <w:rFonts w:ascii="Segoe UI" w:cs="Segoe UI" w:eastAsia="Segoe UI" w:hAnsi="Segoe UI"/>
      <w:b w:val="1"/>
      <w:bCs w:val="1"/>
      <w:sz w:val="32"/>
      <w:szCs w:val="32"/>
    </w:rPr>
  </w:style>
  <w:style w:type="paragraph" w:styleId="Nagwek320" w:customStyle="1">
    <w:name w:val="Nagłówek #3 (2)"/>
    <w:basedOn w:val="Normalny"/>
    <w:link w:val="Nagwek32"/>
    <w:rsid w:val="00006A3D"/>
    <w:pPr>
      <w:widowControl w:val="0"/>
      <w:shd w:color="auto" w:fill="ffffff" w:val="clear"/>
      <w:spacing w:line="0" w:lineRule="atLeast"/>
      <w:jc w:val="center"/>
      <w:outlineLvl w:val="2"/>
    </w:pPr>
    <w:rPr>
      <w:rFonts w:ascii="Segoe UI" w:cs="Segoe UI" w:eastAsia="Segoe UI" w:hAnsi="Segoe UI"/>
      <w:b w:val="1"/>
      <w:bCs w:val="1"/>
      <w:sz w:val="21"/>
      <w:szCs w:val="21"/>
    </w:rPr>
  </w:style>
  <w:style w:type="paragraph" w:styleId="Nagwek21" w:customStyle="1">
    <w:name w:val="Nagłówek #2"/>
    <w:basedOn w:val="Normalny"/>
    <w:link w:val="Nagwek20"/>
    <w:rsid w:val="00006A3D"/>
    <w:pPr>
      <w:widowControl w:val="0"/>
      <w:shd w:color="auto" w:fill="ffffff" w:val="clear"/>
      <w:spacing w:after="360" w:line="0" w:lineRule="atLeast"/>
      <w:outlineLvl w:val="1"/>
    </w:pPr>
    <w:rPr>
      <w:rFonts w:ascii="Segoe UI" w:cs="Segoe UI" w:eastAsia="Segoe UI" w:hAnsi="Segoe UI"/>
      <w:b w:val="1"/>
      <w:bCs w:val="1"/>
    </w:rPr>
  </w:style>
  <w:style w:type="paragraph" w:styleId="Podpistabeli0" w:customStyle="1">
    <w:name w:val="Podpis tabeli"/>
    <w:basedOn w:val="Normalny"/>
    <w:link w:val="Podpistabeli"/>
    <w:rsid w:val="00006A3D"/>
    <w:pPr>
      <w:widowControl w:val="0"/>
      <w:shd w:color="auto" w:fill="ffffff" w:val="clear"/>
      <w:spacing w:line="0" w:lineRule="atLeast"/>
    </w:pPr>
    <w:rPr>
      <w:rFonts w:ascii="Segoe UI" w:cs="Segoe UI" w:eastAsia="Segoe UI" w:hAnsi="Segoe UI"/>
      <w:b w:val="1"/>
      <w:bCs w:val="1"/>
      <w:sz w:val="20"/>
      <w:szCs w:val="20"/>
    </w:rPr>
  </w:style>
  <w:style w:type="paragraph" w:styleId="Nagwek31" w:customStyle="1">
    <w:name w:val="Nagłówek #3"/>
    <w:basedOn w:val="Normalny"/>
    <w:link w:val="Nagwek30"/>
    <w:rsid w:val="00006A3D"/>
    <w:pPr>
      <w:widowControl w:val="0"/>
      <w:shd w:color="auto" w:fill="ffffff" w:val="clear"/>
      <w:spacing w:before="300" w:line="245" w:lineRule="exact"/>
      <w:outlineLvl w:val="2"/>
    </w:pPr>
    <w:rPr>
      <w:rFonts w:ascii="Segoe UI" w:cs="Segoe UI" w:eastAsia="Segoe UI" w:hAnsi="Segoe UI"/>
      <w:b w:val="1"/>
      <w:bCs w:val="1"/>
      <w:sz w:val="20"/>
      <w:szCs w:val="20"/>
    </w:rPr>
  </w:style>
  <w:style w:type="paragraph" w:styleId="Default" w:customStyle="1">
    <w:name w:val="Default"/>
    <w:rsid w:val="00006A3D"/>
    <w:pPr>
      <w:autoSpaceDE w:val="0"/>
      <w:autoSpaceDN w:val="0"/>
      <w:adjustRightInd w:val="0"/>
    </w:pPr>
    <w:rPr>
      <w:rFonts w:ascii="Open Sans" w:cs="Open Sans" w:eastAsia="Arial Unicode MS" w:hAnsi="Open Sans"/>
      <w:color w:val="000000"/>
    </w:rPr>
  </w:style>
  <w:style w:type="table" w:styleId="Tabela-Siatka1" w:customStyle="1">
    <w:name w:val="Tabela - Siatka1"/>
    <w:basedOn w:val="Standardowy"/>
    <w:next w:val="Tabela-Siatka"/>
    <w:uiPriority w:val="59"/>
    <w:rsid w:val="00CA33E3"/>
    <w:rPr>
      <w:rFonts w:eastAsia="MS Mincho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-Siatka">
    <w:name w:val="Table Grid"/>
    <w:basedOn w:val="Standardowy"/>
    <w:uiPriority w:val="59"/>
    <w:rsid w:val="00CA33E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aliases w:val="Liste à puces retrait droite,Kolorowa lista — akcent 11"/>
    <w:basedOn w:val="Normalny"/>
    <w:link w:val="AkapitzlistZnak"/>
    <w:uiPriority w:val="34"/>
    <w:qFormat w:val="1"/>
    <w:rsid w:val="001330E2"/>
    <w:pPr>
      <w:ind w:left="720"/>
      <w:contextualSpacing w:val="1"/>
    </w:pPr>
    <w:rPr>
      <w:rFonts w:eastAsiaTheme="minorHAnsi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AE6531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AE6531"/>
    <w:rPr>
      <w:rFonts w:eastAsiaTheme="minorHAnsi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AE6531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AE6531"/>
    <w:rPr>
      <w:b w:val="1"/>
      <w:bCs w:val="1"/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AE6531"/>
    <w:rPr>
      <w:b w:val="1"/>
      <w:bCs w:val="1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FD66AC"/>
    <w:rPr>
      <w:rFonts w:eastAsiaTheme="minorHAns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FD66A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FD66AC"/>
    <w:rPr>
      <w:vertAlign w:val="superscript"/>
    </w:rPr>
  </w:style>
  <w:style w:type="paragraph" w:styleId="Poprawka">
    <w:name w:val="Revision"/>
    <w:hidden w:val="1"/>
    <w:uiPriority w:val="99"/>
    <w:semiHidden w:val="1"/>
    <w:rsid w:val="00E11FAB"/>
  </w:style>
  <w:style w:type="character" w:styleId="UyteHipercze">
    <w:name w:val="FollowedHyperlink"/>
    <w:basedOn w:val="Domylnaczcionkaakapitu"/>
    <w:uiPriority w:val="99"/>
    <w:semiHidden w:val="1"/>
    <w:unhideWhenUsed w:val="1"/>
    <w:rsid w:val="005620AD"/>
    <w:rPr>
      <w:color w:val="800080" w:themeColor="followedHyperlink"/>
      <w:u w:val="single"/>
    </w:rPr>
  </w:style>
  <w:style w:type="paragraph" w:styleId="p1" w:customStyle="1">
    <w:name w:val="p1"/>
    <w:basedOn w:val="Normalny"/>
    <w:rsid w:val="00EB361A"/>
    <w:rPr>
      <w:rFonts w:ascii="Helvetica" w:hAnsi="Helvetica" w:eastAsiaTheme="minorHAnsi"/>
      <w:sz w:val="15"/>
      <w:szCs w:val="15"/>
    </w:rPr>
  </w:style>
  <w:style w:type="character" w:styleId="apple-converted-space" w:customStyle="1">
    <w:name w:val="apple-converted-space"/>
    <w:basedOn w:val="Domylnaczcionkaakapitu"/>
    <w:rsid w:val="00EB361A"/>
  </w:style>
  <w:style w:type="paragraph" w:styleId="redniasiatka1akcent21" w:customStyle="1">
    <w:name w:val="Średnia siatka 1 — akcent 21"/>
    <w:basedOn w:val="Normalny"/>
    <w:uiPriority w:val="34"/>
    <w:qFormat w:val="1"/>
    <w:rsid w:val="00246C6E"/>
    <w:pPr>
      <w:ind w:left="720"/>
      <w:contextualSpacing w:val="1"/>
    </w:pPr>
    <w:rPr>
      <w:rFonts w:eastAsia="Calibri"/>
    </w:rPr>
  </w:style>
  <w:style w:type="character" w:styleId="Nierozpoznanawzmianka1" w:customStyle="1">
    <w:name w:val="Nierozpoznana wzmianka1"/>
    <w:basedOn w:val="Domylnaczcionkaakapitu"/>
    <w:uiPriority w:val="99"/>
    <w:rsid w:val="00030E37"/>
    <w:rPr>
      <w:color w:val="605e5c"/>
      <w:shd w:color="auto" w:fill="e1dfdd" w:val="clear"/>
    </w:rPr>
  </w:style>
  <w:style w:type="character" w:styleId="AkapitzlistZnak" w:customStyle="1">
    <w:name w:val="Akapit z listą Znak"/>
    <w:aliases w:val="Liste à puces retrait droite Znak,Kolorowa lista — akcent 11 Znak"/>
    <w:link w:val="Akapitzlist"/>
    <w:uiPriority w:val="34"/>
    <w:qFormat w:val="1"/>
    <w:rsid w:val="00C30CE2"/>
    <w:rPr>
      <w:rFonts w:ascii="Times New Roman" w:cs="Times New Roman" w:hAnsi="Times New Roman"/>
      <w:sz w:val="24"/>
      <w:szCs w:val="24"/>
      <w:lang w:eastAsia="pl-PL"/>
    </w:rPr>
  </w:style>
  <w:style w:type="paragraph" w:styleId="Kolorowalistaakcent21" w:customStyle="1">
    <w:name w:val="Kolorowa lista — akcent 21"/>
    <w:uiPriority w:val="1"/>
    <w:qFormat w:val="1"/>
    <w:rsid w:val="009E0BDB"/>
    <w:rPr>
      <w:rFonts w:ascii="Calibri" w:eastAsia="Calibri" w:hAnsi="Calibri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A01789"/>
    <w:rPr>
      <w:color w:val="605e5c"/>
      <w:shd w:color="auto" w:fill="e1dfdd" w:val="clear"/>
    </w:rPr>
  </w:style>
  <w:style w:type="paragraph" w:styleId="NormalnyWeb">
    <w:name w:val="Normal (Web)"/>
    <w:basedOn w:val="Normalny"/>
    <w:uiPriority w:val="99"/>
    <w:semiHidden w:val="1"/>
    <w:unhideWhenUsed w:val="1"/>
    <w:rsid w:val="00B26C4E"/>
    <w:pPr>
      <w:spacing w:after="100" w:afterAutospacing="1" w:before="100" w:beforeAutospacing="1"/>
    </w:pPr>
    <w:rPr>
      <w:rFonts w:ascii="Calibri" w:cs="Calibri" w:hAnsi="Calibri" w:eastAsiaTheme="minorHAnsi"/>
      <w:sz w:val="22"/>
      <w:szCs w:val="22"/>
    </w:rPr>
  </w:style>
  <w:style w:type="character" w:styleId="tlid-translation" w:customStyle="1">
    <w:name w:val="tlid-translation"/>
    <w:basedOn w:val="Domylnaczcionkaakapitu"/>
    <w:rsid w:val="00BB5FDE"/>
  </w:style>
  <w:style w:type="paragraph" w:styleId="Style14" w:customStyle="1">
    <w:name w:val="Style14"/>
    <w:basedOn w:val="Normalny"/>
    <w:uiPriority w:val="99"/>
    <w:rsid w:val="005D6ECF"/>
    <w:pPr>
      <w:widowControl w:val="0"/>
      <w:autoSpaceDE w:val="0"/>
      <w:autoSpaceDN w:val="0"/>
      <w:adjustRightInd w:val="0"/>
      <w:spacing w:line="250" w:lineRule="exact"/>
    </w:pPr>
    <w:rPr>
      <w:rFonts w:ascii="Calibri" w:hAnsi="Calibri"/>
    </w:rPr>
  </w:style>
  <w:style w:type="character" w:styleId="FontStyle21" w:customStyle="1">
    <w:name w:val="Font Style21"/>
    <w:uiPriority w:val="99"/>
    <w:rsid w:val="005D6ECF"/>
    <w:rPr>
      <w:rFonts w:ascii="Calibri" w:cs="Calibri" w:hAnsi="Calibri"/>
      <w:color w:val="000000"/>
      <w:sz w:val="18"/>
      <w:szCs w:val="18"/>
    </w:rPr>
  </w:style>
  <w:style w:type="table" w:styleId="a" w:customStyle="1">
    <w:basedOn w:val="Standardowy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Standardowy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Standardowy"/>
    <w:rPr>
      <w:rFonts w:ascii="Calibri" w:cs="Calibri" w:eastAsia="Calibri" w:hAnsi="Calibri"/>
      <w:color w:val="000000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2" w:customStyle="1">
    <w:basedOn w:val="Standardowy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Standardowy"/>
    <w:rPr>
      <w:rFonts w:ascii="Calibri" w:cs="Calibri" w:eastAsia="Calibri" w:hAnsi="Calibri"/>
      <w:color w:val="000000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Tekstpodstawowy">
    <w:name w:val="Body Text"/>
    <w:basedOn w:val="Normalny"/>
    <w:link w:val="TekstpodstawowyZnak"/>
    <w:rsid w:val="00031283"/>
    <w:pPr>
      <w:suppressAutoHyphens w:val="1"/>
      <w:jc w:val="center"/>
    </w:pPr>
    <w:rPr>
      <w:b w:val="1"/>
      <w:sz w:val="32"/>
      <w:szCs w:val="20"/>
      <w:lang w:eastAsia="ar-SA"/>
    </w:rPr>
  </w:style>
  <w:style w:type="character" w:styleId="TekstpodstawowyZnak" w:customStyle="1">
    <w:name w:val="Tekst podstawowy Znak"/>
    <w:basedOn w:val="Domylnaczcionkaakapitu"/>
    <w:link w:val="Tekstpodstawowy"/>
    <w:rsid w:val="00031283"/>
    <w:rPr>
      <w:b w:val="1"/>
      <w:sz w:val="32"/>
      <w:szCs w:val="20"/>
      <w:lang w:eastAsia="ar-SA"/>
    </w:rPr>
  </w:style>
  <w:style w:type="character" w:styleId="normaltextrun" w:customStyle="1">
    <w:name w:val="normaltextrun"/>
    <w:basedOn w:val="Domylnaczcionkaakapitu"/>
    <w:rsid w:val="008A739B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9GkT7SIWBSx11KapBjl3uCEcyw==">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2024-12-03T15:54:00Z</dcterms:created>
</cp:coreProperties>
</file>